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409C" w14:textId="463FB05E" w:rsidR="003F31D2" w:rsidRPr="00D1291B" w:rsidRDefault="003F31D2" w:rsidP="003F31D2">
      <w:pPr>
        <w:spacing w:after="0" w:line="240" w:lineRule="auto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ENERGIJOS</w:t>
      </w:r>
      <w:r w:rsidR="000F2921">
        <w:rPr>
          <w:rFonts w:cs="Times New Roman"/>
          <w:b/>
          <w:bCs/>
        </w:rPr>
        <w:t xml:space="preserve"> INŽINERIJOS STUDIJŲ KRYPT</w:t>
      </w:r>
      <w:r w:rsidRPr="00D1291B">
        <w:rPr>
          <w:rFonts w:cs="Times New Roman"/>
          <w:b/>
          <w:bCs/>
        </w:rPr>
        <w:t xml:space="preserve">IES IŠORINIO VERTINIMO REKOMENDACIJŲ VYKDYMO PLANAS </w:t>
      </w:r>
    </w:p>
    <w:p w14:paraId="48A6775D" w14:textId="1D57A3F8" w:rsidR="003F31D2" w:rsidRPr="000F069E" w:rsidRDefault="000F2921" w:rsidP="003F31D2">
      <w:pPr>
        <w:spacing w:after="0" w:line="240" w:lineRule="auto"/>
        <w:jc w:val="center"/>
        <w:rPr>
          <w:rFonts w:cs="Times New Roman"/>
          <w:b/>
        </w:rPr>
      </w:pPr>
      <w:r w:rsidRPr="00260CB2">
        <w:rPr>
          <w:rFonts w:cs="Times New Roman"/>
          <w:b/>
        </w:rPr>
        <w:t>2021</w:t>
      </w:r>
      <w:r w:rsidR="003F31D2" w:rsidRPr="00260CB2">
        <w:rPr>
          <w:rFonts w:cs="Times New Roman"/>
          <w:b/>
        </w:rPr>
        <w:t>-0</w:t>
      </w:r>
      <w:r w:rsidRPr="00260CB2">
        <w:rPr>
          <w:rFonts w:cs="Times New Roman"/>
          <w:b/>
        </w:rPr>
        <w:t>9</w:t>
      </w:r>
      <w:r w:rsidR="003F31D2" w:rsidRPr="00260CB2">
        <w:rPr>
          <w:rFonts w:cs="Times New Roman"/>
          <w:b/>
        </w:rPr>
        <w:t>-</w:t>
      </w:r>
      <w:r w:rsidRPr="00260CB2">
        <w:rPr>
          <w:rFonts w:cs="Times New Roman"/>
          <w:b/>
        </w:rPr>
        <w:t>14</w:t>
      </w:r>
    </w:p>
    <w:p w14:paraId="282D1553" w14:textId="77777777" w:rsidR="003F31D2" w:rsidRPr="000F069E" w:rsidRDefault="003F31D2" w:rsidP="003F31D2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5367" w:type="pct"/>
        <w:tblLook w:val="04A0" w:firstRow="1" w:lastRow="0" w:firstColumn="1" w:lastColumn="0" w:noHBand="0" w:noVBand="1"/>
      </w:tblPr>
      <w:tblGrid>
        <w:gridCol w:w="1376"/>
        <w:gridCol w:w="2983"/>
        <w:gridCol w:w="2803"/>
        <w:gridCol w:w="2797"/>
        <w:gridCol w:w="2604"/>
        <w:gridCol w:w="2457"/>
      </w:tblGrid>
      <w:tr w:rsidR="00BA15F0" w:rsidRPr="000F069E" w14:paraId="6EF762AC" w14:textId="77777777" w:rsidTr="00260CB2">
        <w:tc>
          <w:tcPr>
            <w:tcW w:w="458" w:type="pct"/>
          </w:tcPr>
          <w:p w14:paraId="6497CFA4" w14:textId="77777777" w:rsidR="003F31D2" w:rsidRPr="000F069E" w:rsidRDefault="003F31D2" w:rsidP="00463036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Vertinamoji sritis</w:t>
            </w:r>
          </w:p>
        </w:tc>
        <w:tc>
          <w:tcPr>
            <w:tcW w:w="993" w:type="pct"/>
          </w:tcPr>
          <w:p w14:paraId="2F05B327" w14:textId="77777777" w:rsidR="003F31D2" w:rsidRPr="000F069E" w:rsidRDefault="003F31D2" w:rsidP="00463036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Ekspertų rekomendacijos, pateiktos paskutinio vertinimo metu</w:t>
            </w:r>
          </w:p>
        </w:tc>
        <w:tc>
          <w:tcPr>
            <w:tcW w:w="933" w:type="pct"/>
          </w:tcPr>
          <w:p w14:paraId="08B69A37" w14:textId="77777777" w:rsidR="003F31D2" w:rsidRPr="000F069E" w:rsidRDefault="003F31D2" w:rsidP="004630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0F069E">
              <w:rPr>
                <w:rFonts w:cs="Times New Roman"/>
              </w:rPr>
              <w:t xml:space="preserve">lanuojami veiksmai </w:t>
            </w:r>
          </w:p>
        </w:tc>
        <w:tc>
          <w:tcPr>
            <w:tcW w:w="931" w:type="pct"/>
          </w:tcPr>
          <w:p w14:paraId="6046E88D" w14:textId="77777777" w:rsidR="003F31D2" w:rsidRPr="000F069E" w:rsidRDefault="003F31D2" w:rsidP="004630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Įgyvendinimo</w:t>
            </w:r>
            <w:r w:rsidRPr="000F069E">
              <w:rPr>
                <w:rFonts w:cs="Times New Roman"/>
              </w:rPr>
              <w:t xml:space="preserve"> terminai</w:t>
            </w:r>
          </w:p>
        </w:tc>
        <w:tc>
          <w:tcPr>
            <w:tcW w:w="867" w:type="pct"/>
          </w:tcPr>
          <w:p w14:paraId="1B544862" w14:textId="77777777" w:rsidR="003F31D2" w:rsidRPr="000F069E" w:rsidRDefault="003F31D2" w:rsidP="00260CB2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>Atsakingi asmenys/padaliniai</w:t>
            </w:r>
          </w:p>
        </w:tc>
        <w:tc>
          <w:tcPr>
            <w:tcW w:w="818" w:type="pct"/>
          </w:tcPr>
          <w:p w14:paraId="0B69A54E" w14:textId="6519A9E6" w:rsidR="003F31D2" w:rsidRPr="000F069E" w:rsidRDefault="00A043DB" w:rsidP="00260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Pastabos </w:t>
            </w:r>
          </w:p>
        </w:tc>
      </w:tr>
      <w:tr w:rsidR="00BA15F0" w:rsidRPr="000F069E" w14:paraId="06208C27" w14:textId="77777777" w:rsidTr="00005B18">
        <w:tc>
          <w:tcPr>
            <w:tcW w:w="458" w:type="pct"/>
          </w:tcPr>
          <w:p w14:paraId="23914950" w14:textId="77777777" w:rsidR="00381A91" w:rsidRPr="000F069E" w:rsidRDefault="00381A91" w:rsidP="00381A91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 xml:space="preserve">1. </w:t>
            </w:r>
          </w:p>
        </w:tc>
        <w:tc>
          <w:tcPr>
            <w:tcW w:w="993" w:type="pct"/>
            <w:vAlign w:val="center"/>
          </w:tcPr>
          <w:p w14:paraId="17B63A09" w14:textId="59351C84" w:rsidR="00381A91" w:rsidRPr="000F069E" w:rsidRDefault="00381A91" w:rsidP="00D514AF">
            <w:pPr>
              <w:rPr>
                <w:rFonts w:cs="Times New Roman"/>
              </w:rPr>
            </w:pPr>
            <w:r w:rsidRPr="00381A91">
              <w:rPr>
                <w:rFonts w:cs="Times New Roman"/>
              </w:rPr>
              <w:t>Bendrieji studijų sričių tikslai ir siekiai suteikia žinias energetikos inžinerijoje, ypač pastatų energetikoje, būtų naudinga pasiūlyti institucijai ir toliau pabrėžti šių programų unikalumą šalyje.</w:t>
            </w:r>
          </w:p>
        </w:tc>
        <w:tc>
          <w:tcPr>
            <w:tcW w:w="933" w:type="pct"/>
          </w:tcPr>
          <w:p w14:paraId="44DD390C" w14:textId="42AB3B57" w:rsidR="00381A91" w:rsidRPr="000F069E" w:rsidRDefault="006671FA" w:rsidP="00F22049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>Pasiūlyti</w:t>
            </w:r>
            <w:r w:rsidR="00005B18">
              <w:rPr>
                <w:rFonts w:cs="Times New Roman"/>
              </w:rPr>
              <w:t xml:space="preserve"> </w:t>
            </w:r>
            <w:r w:rsidR="13E2068A" w:rsidRPr="537FB692">
              <w:rPr>
                <w:rFonts w:cs="Times New Roman"/>
              </w:rPr>
              <w:t>VILNIUS</w:t>
            </w:r>
            <w:r w:rsidR="13771182" w:rsidRPr="537FB692">
              <w:rPr>
                <w:rFonts w:cs="Times New Roman"/>
              </w:rPr>
              <w:t xml:space="preserve"> </w:t>
            </w:r>
            <w:r w:rsidR="13E2068A" w:rsidRPr="537FB692">
              <w:rPr>
                <w:rFonts w:cs="Times New Roman"/>
              </w:rPr>
              <w:t>TECH VKD</w:t>
            </w:r>
            <w:r w:rsidRPr="537FB692">
              <w:rPr>
                <w:rFonts w:cs="Times New Roman"/>
              </w:rPr>
              <w:t xml:space="preserve"> </w:t>
            </w:r>
            <w:r w:rsidR="3D8C1349" w:rsidRPr="537FB692">
              <w:rPr>
                <w:rFonts w:cs="Times New Roman"/>
              </w:rPr>
              <w:t>akcentuoti</w:t>
            </w:r>
            <w:r w:rsidRPr="537FB692">
              <w:rPr>
                <w:rFonts w:cs="Times New Roman"/>
              </w:rPr>
              <w:t xml:space="preserve"> </w:t>
            </w:r>
            <w:r w:rsidR="02135CBD" w:rsidRPr="537FB692">
              <w:rPr>
                <w:rFonts w:cs="Times New Roman"/>
              </w:rPr>
              <w:t>Energijos inžinerijos studijų</w:t>
            </w:r>
            <w:r w:rsidRPr="537FB692">
              <w:rPr>
                <w:rFonts w:cs="Times New Roman"/>
              </w:rPr>
              <w:t xml:space="preserve"> programų unikalumą šalyje</w:t>
            </w:r>
          </w:p>
        </w:tc>
        <w:tc>
          <w:tcPr>
            <w:tcW w:w="931" w:type="pct"/>
          </w:tcPr>
          <w:p w14:paraId="0DB76FF7" w14:textId="33AFA502" w:rsidR="00381A91" w:rsidRDefault="00D514AF" w:rsidP="009E51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</w:t>
            </w:r>
            <w:r w:rsidR="009E5171">
              <w:rPr>
                <w:rFonts w:cs="Times New Roman"/>
              </w:rPr>
              <w:t xml:space="preserve"> –</w:t>
            </w:r>
            <w:r w:rsidR="002E2F69">
              <w:rPr>
                <w:rFonts w:cs="Times New Roman"/>
              </w:rPr>
              <w:t xml:space="preserve"> </w:t>
            </w:r>
            <w:r w:rsidR="002E7768">
              <w:rPr>
                <w:rFonts w:cs="Times New Roman"/>
              </w:rPr>
              <w:t>2024</w:t>
            </w:r>
            <w:r w:rsidR="00381A91">
              <w:rPr>
                <w:rFonts w:cs="Times New Roman"/>
              </w:rPr>
              <w:t>-</w:t>
            </w:r>
            <w:r w:rsidR="002E7768">
              <w:rPr>
                <w:rFonts w:cs="Times New Roman"/>
              </w:rPr>
              <w:t>03</w:t>
            </w:r>
            <w:r w:rsidR="00381A91">
              <w:rPr>
                <w:rFonts w:cs="Times New Roman"/>
              </w:rPr>
              <w:t>-</w:t>
            </w:r>
            <w:r w:rsidR="009E5171">
              <w:rPr>
                <w:rFonts w:cs="Times New Roman"/>
              </w:rPr>
              <w:t>15</w:t>
            </w:r>
          </w:p>
          <w:p w14:paraId="62F945E3" w14:textId="77777777" w:rsidR="009E5171" w:rsidRDefault="009E5171" w:rsidP="009E5171">
            <w:pPr>
              <w:jc w:val="center"/>
              <w:rPr>
                <w:rFonts w:cs="Times New Roman"/>
              </w:rPr>
            </w:pPr>
          </w:p>
          <w:p w14:paraId="75E249AA" w14:textId="353B20BB" w:rsidR="009E5171" w:rsidRPr="000F069E" w:rsidRDefault="009E5171" w:rsidP="002E7768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0530E377" w14:textId="1A546E13" w:rsidR="00381A91" w:rsidRPr="000F069E" w:rsidRDefault="0057666A" w:rsidP="00F22049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>Viešosios komunikacijos direkcija</w:t>
            </w:r>
            <w:r w:rsidR="00071E7E">
              <w:rPr>
                <w:rFonts w:cs="Times New Roman"/>
              </w:rPr>
              <w:t xml:space="preserve"> (VKD)</w:t>
            </w:r>
            <w:r w:rsidR="73347922" w:rsidRPr="537FB692">
              <w:rPr>
                <w:rFonts w:cs="Times New Roman"/>
              </w:rPr>
              <w:t>, Pastatų energetikos katedra</w:t>
            </w:r>
            <w:r w:rsidR="00404851">
              <w:rPr>
                <w:rFonts w:cs="Times New Roman"/>
              </w:rPr>
              <w:t xml:space="preserve"> (PEK)</w:t>
            </w:r>
          </w:p>
        </w:tc>
        <w:tc>
          <w:tcPr>
            <w:tcW w:w="818" w:type="pct"/>
          </w:tcPr>
          <w:p w14:paraId="3F930481" w14:textId="0B0A4FC7" w:rsidR="00381A91" w:rsidRPr="000F069E" w:rsidRDefault="00381A91" w:rsidP="00F22049">
            <w:pPr>
              <w:rPr>
                <w:rFonts w:cs="Times New Roman"/>
              </w:rPr>
            </w:pPr>
          </w:p>
        </w:tc>
      </w:tr>
      <w:tr w:rsidR="00BA15F0" w:rsidRPr="000F069E" w14:paraId="0883F6F7" w14:textId="77777777" w:rsidTr="00DF5ED8">
        <w:tc>
          <w:tcPr>
            <w:tcW w:w="458" w:type="pct"/>
          </w:tcPr>
          <w:p w14:paraId="27A6C6A9" w14:textId="77777777" w:rsidR="00381A91" w:rsidRPr="000F069E" w:rsidRDefault="00381A91" w:rsidP="0046303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pct"/>
          </w:tcPr>
          <w:p w14:paraId="441FF878" w14:textId="0D1927F8" w:rsidR="00381A91" w:rsidRPr="00381A91" w:rsidRDefault="00381A91" w:rsidP="00D514AF">
            <w:pPr>
              <w:rPr>
                <w:rFonts w:cs="Times New Roman"/>
              </w:rPr>
            </w:pPr>
            <w:r w:rsidRPr="00381A91">
              <w:rPr>
                <w:rFonts w:cs="Times New Roman"/>
              </w:rPr>
              <w:t>Institucijai rekomenduojama paspartinti visų programos dalykų aprašymų atnaujinimą, ypač plačiau pasiremiant neseniai atliktais tyrimais, o ne vien tik dėstytojų tyrimų projektais, siekiant išplėsti studentų akiratį greitai kintančioje energetikos rinkoje.</w:t>
            </w:r>
          </w:p>
        </w:tc>
        <w:tc>
          <w:tcPr>
            <w:tcW w:w="933" w:type="pct"/>
          </w:tcPr>
          <w:p w14:paraId="198BDA7B" w14:textId="6A81C6C0" w:rsidR="00381A91" w:rsidRDefault="00117164" w:rsidP="001162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Peržiūrėti studijų dalykų korteles ir atlikti </w:t>
            </w:r>
            <w:r w:rsidR="0073603A">
              <w:rPr>
                <w:rFonts w:cs="Times New Roman"/>
              </w:rPr>
              <w:t>atnaujinimus pagal išorinio vertinimo metu pat</w:t>
            </w:r>
            <w:r w:rsidR="004863D2">
              <w:rPr>
                <w:rFonts w:cs="Times New Roman"/>
              </w:rPr>
              <w:t>ei</w:t>
            </w:r>
            <w:r w:rsidR="0073603A">
              <w:rPr>
                <w:rFonts w:cs="Times New Roman"/>
              </w:rPr>
              <w:t xml:space="preserve">ktas </w:t>
            </w:r>
            <w:r w:rsidR="00D77EDE">
              <w:rPr>
                <w:rFonts w:cs="Times New Roman"/>
              </w:rPr>
              <w:t>rekomendacijas</w:t>
            </w:r>
          </w:p>
        </w:tc>
        <w:tc>
          <w:tcPr>
            <w:tcW w:w="931" w:type="pct"/>
          </w:tcPr>
          <w:p w14:paraId="1C0A02E4" w14:textId="77777777" w:rsidR="002E7768" w:rsidRDefault="002E7768" w:rsidP="002E77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25494DB8" w14:textId="77777777" w:rsidR="00381A91" w:rsidRDefault="00381A91" w:rsidP="00463036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083745B1" w14:textId="00DA619E" w:rsidR="00381A91" w:rsidRDefault="00404851" w:rsidP="00404851">
            <w:pPr>
              <w:rPr>
                <w:rFonts w:cs="Times New Roman"/>
              </w:rPr>
            </w:pPr>
            <w:r>
              <w:rPr>
                <w:rFonts w:cs="Times New Roman"/>
              </w:rPr>
              <w:t>Studijų programų komitetai (</w:t>
            </w:r>
            <w:r w:rsidR="72B04700" w:rsidRPr="537FB692">
              <w:rPr>
                <w:rFonts w:cs="Times New Roman"/>
              </w:rPr>
              <w:t>SPK</w:t>
            </w:r>
            <w:r>
              <w:rPr>
                <w:rFonts w:cs="Times New Roman"/>
              </w:rPr>
              <w:t>)</w:t>
            </w:r>
            <w:r w:rsidR="72B04700" w:rsidRPr="537FB692">
              <w:rPr>
                <w:rFonts w:cs="Times New Roman"/>
              </w:rPr>
              <w:t xml:space="preserve"> nariai, </w:t>
            </w:r>
            <w:r w:rsidR="002E2F69" w:rsidRPr="537FB692">
              <w:rPr>
                <w:rFonts w:cs="Times New Roman"/>
              </w:rPr>
              <w:t>Energijos inžinerijos studijų programose dalyvaujantys dėstytojai</w:t>
            </w:r>
          </w:p>
        </w:tc>
        <w:tc>
          <w:tcPr>
            <w:tcW w:w="818" w:type="pct"/>
          </w:tcPr>
          <w:p w14:paraId="4B795378" w14:textId="215D82A8" w:rsidR="00381A91" w:rsidRPr="000F069E" w:rsidRDefault="00381A91" w:rsidP="007B62F0">
            <w:pPr>
              <w:rPr>
                <w:rFonts w:cs="Times New Roman"/>
              </w:rPr>
            </w:pPr>
          </w:p>
        </w:tc>
      </w:tr>
      <w:tr w:rsidR="00BA15F0" w:rsidRPr="000F069E" w14:paraId="04967EAC" w14:textId="77777777" w:rsidTr="00DF5ED8">
        <w:tc>
          <w:tcPr>
            <w:tcW w:w="458" w:type="pct"/>
          </w:tcPr>
          <w:p w14:paraId="3B4187C7" w14:textId="77777777" w:rsidR="00381A91" w:rsidRPr="000F069E" w:rsidRDefault="00381A91" w:rsidP="0046303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pct"/>
          </w:tcPr>
          <w:p w14:paraId="5C02B149" w14:textId="75CB23E4" w:rsidR="00381A91" w:rsidRDefault="00381A91" w:rsidP="00D514AF">
            <w:r w:rsidRPr="00381A91">
              <w:rPr>
                <w:rFonts w:cs="Times New Roman"/>
              </w:rPr>
              <w:t>Turėtų būti dedama daugiau pastangų supažindinti su programomis potencialius studentus, kad būtų sumažintas priimamų studentų skaičiaus nuosmukis.</w:t>
            </w:r>
          </w:p>
        </w:tc>
        <w:tc>
          <w:tcPr>
            <w:tcW w:w="933" w:type="pct"/>
          </w:tcPr>
          <w:p w14:paraId="6E582F1C" w14:textId="4F9160F8" w:rsidR="00381A91" w:rsidRDefault="00C338D5" w:rsidP="00AF5725">
            <w:pPr>
              <w:rPr>
                <w:rFonts w:cs="Times New Roman"/>
              </w:rPr>
            </w:pPr>
            <w:r>
              <w:rPr>
                <w:rFonts w:cs="Times New Roman"/>
              </w:rPr>
              <w:t>Numatyti</w:t>
            </w:r>
            <w:r w:rsidR="007B7CD1" w:rsidRPr="002A259D">
              <w:rPr>
                <w:rFonts w:cs="Times New Roman"/>
              </w:rPr>
              <w:t xml:space="preserve"> studentų pritraukimo strategiją </w:t>
            </w:r>
            <w:r w:rsidR="00725CBA">
              <w:rPr>
                <w:rFonts w:cs="Times New Roman"/>
              </w:rPr>
              <w:t>vadovaujantis universiteto gairėmis</w:t>
            </w:r>
            <w:r w:rsidR="00AF5725">
              <w:rPr>
                <w:rFonts w:cs="Times New Roman"/>
              </w:rPr>
              <w:t>.</w:t>
            </w:r>
            <w:r w:rsidR="00725CBA">
              <w:rPr>
                <w:rFonts w:cs="Times New Roman"/>
              </w:rPr>
              <w:t xml:space="preserve"> </w:t>
            </w:r>
            <w:r w:rsidR="00AF5725">
              <w:rPr>
                <w:rFonts w:cs="Times New Roman"/>
              </w:rPr>
              <w:t>A</w:t>
            </w:r>
            <w:r w:rsidR="00230AF8">
              <w:rPr>
                <w:rFonts w:cs="Times New Roman"/>
              </w:rPr>
              <w:t>psvarstyti</w:t>
            </w:r>
            <w:r w:rsidR="007157AB">
              <w:rPr>
                <w:rFonts w:cs="Times New Roman"/>
              </w:rPr>
              <w:t xml:space="preserve">, pasirinkti </w:t>
            </w:r>
            <w:r w:rsidR="00230AF8">
              <w:rPr>
                <w:rFonts w:cs="Times New Roman"/>
              </w:rPr>
              <w:t xml:space="preserve">galimus </w:t>
            </w:r>
            <w:r w:rsidR="00D64C48">
              <w:rPr>
                <w:rFonts w:cs="Times New Roman"/>
              </w:rPr>
              <w:t>būd</w:t>
            </w:r>
            <w:r w:rsidR="00230AF8">
              <w:rPr>
                <w:rFonts w:cs="Times New Roman"/>
              </w:rPr>
              <w:t>us</w:t>
            </w:r>
            <w:r w:rsidR="00D64C48">
              <w:rPr>
                <w:rFonts w:cs="Times New Roman"/>
              </w:rPr>
              <w:t xml:space="preserve"> efektyvesniam informacijos apie studijų </w:t>
            </w:r>
            <w:r w:rsidR="00D64C48">
              <w:rPr>
                <w:rFonts w:cs="Times New Roman"/>
              </w:rPr>
              <w:lastRenderedPageBreak/>
              <w:t>programas potencialiems studentams</w:t>
            </w:r>
            <w:r w:rsidR="00230AF8">
              <w:rPr>
                <w:rFonts w:cs="Times New Roman"/>
              </w:rPr>
              <w:t xml:space="preserve"> </w:t>
            </w:r>
            <w:r w:rsidR="00D64C48">
              <w:rPr>
                <w:rFonts w:cs="Times New Roman"/>
              </w:rPr>
              <w:t>viešinti</w:t>
            </w:r>
            <w:r w:rsidR="007B7CD1">
              <w:rPr>
                <w:rFonts w:cs="Times New Roman"/>
              </w:rPr>
              <w:t xml:space="preserve"> </w:t>
            </w:r>
            <w:r w:rsidR="001D0AD1">
              <w:rPr>
                <w:rFonts w:cs="Times New Roman"/>
              </w:rPr>
              <w:t>ir taikyti juos siekiant didinti priimamų studentų skaičių</w:t>
            </w:r>
          </w:p>
        </w:tc>
        <w:tc>
          <w:tcPr>
            <w:tcW w:w="931" w:type="pct"/>
          </w:tcPr>
          <w:p w14:paraId="1039A50B" w14:textId="77777777" w:rsidR="002E7768" w:rsidRDefault="002E7768" w:rsidP="002E77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2021-09-15 – 2024-03-15</w:t>
            </w:r>
          </w:p>
          <w:p w14:paraId="48142D19" w14:textId="77777777" w:rsidR="00381A91" w:rsidRDefault="00381A91" w:rsidP="00463036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51B6D761" w14:textId="0FA1026D" w:rsidR="00381A91" w:rsidRDefault="00A13FC7" w:rsidP="00A340C8">
            <w:pPr>
              <w:rPr>
                <w:rFonts w:cs="Times New Roman"/>
              </w:rPr>
            </w:pPr>
            <w:hyperlink r:id="rId10" w:history="1">
              <w:r w:rsidR="00A340C8" w:rsidRPr="00DC3E04">
                <w:rPr>
                  <w:rFonts w:cs="Times New Roman"/>
                </w:rPr>
                <w:t>Stojančiųjų priėmimo ir informavimo centras</w:t>
              </w:r>
            </w:hyperlink>
            <w:r w:rsidR="00A340C8" w:rsidRPr="00DC3E04">
              <w:rPr>
                <w:rFonts w:cs="Times New Roman"/>
              </w:rPr>
              <w:t xml:space="preserve"> (</w:t>
            </w:r>
            <w:r w:rsidR="00A340C8" w:rsidRPr="00DC3E04">
              <w:rPr>
                <w:rFonts w:eastAsia="Calibri" w:cs="Times New Roman"/>
                <w:szCs w:val="24"/>
              </w:rPr>
              <w:t xml:space="preserve">SPIC), </w:t>
            </w:r>
            <w:r w:rsidR="00404851" w:rsidRPr="00DC3E04">
              <w:rPr>
                <w:rFonts w:eastAsia="Calibri" w:cs="Times New Roman"/>
                <w:szCs w:val="24"/>
              </w:rPr>
              <w:t>VKD</w:t>
            </w:r>
            <w:r w:rsidR="00404851">
              <w:rPr>
                <w:rFonts w:eastAsia="Calibri" w:cs="Times New Roman"/>
                <w:szCs w:val="24"/>
              </w:rPr>
              <w:t>,</w:t>
            </w:r>
            <w:r w:rsidR="00404851" w:rsidRPr="537FB692">
              <w:rPr>
                <w:rFonts w:cs="Times New Roman"/>
              </w:rPr>
              <w:t xml:space="preserve"> </w:t>
            </w:r>
            <w:r w:rsidR="00B4611A">
              <w:rPr>
                <w:rFonts w:cs="Times New Roman"/>
              </w:rPr>
              <w:t>PEK</w:t>
            </w:r>
            <w:r w:rsidR="00AC15B3" w:rsidRPr="537FB692">
              <w:rPr>
                <w:rFonts w:cs="Times New Roman"/>
              </w:rPr>
              <w:t>, Aplinkos inžinerijos fakultetas</w:t>
            </w:r>
            <w:r w:rsidR="00B4611A">
              <w:rPr>
                <w:rFonts w:cs="Times New Roman"/>
              </w:rPr>
              <w:t xml:space="preserve"> (APF)</w:t>
            </w:r>
          </w:p>
          <w:p w14:paraId="4912EF86" w14:textId="44EDC2B4" w:rsidR="00381A91" w:rsidRDefault="00381A91" w:rsidP="00260CB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18" w:type="pct"/>
          </w:tcPr>
          <w:p w14:paraId="767BC08B" w14:textId="1B6A24DA" w:rsidR="00381A91" w:rsidRPr="000F069E" w:rsidRDefault="00381A91" w:rsidP="00260CB2">
            <w:pPr>
              <w:rPr>
                <w:rFonts w:cs="Times New Roman"/>
              </w:rPr>
            </w:pPr>
          </w:p>
        </w:tc>
      </w:tr>
      <w:tr w:rsidR="00BA15F0" w:rsidRPr="000F069E" w14:paraId="00207563" w14:textId="77777777" w:rsidTr="00BA6AC4">
        <w:tc>
          <w:tcPr>
            <w:tcW w:w="458" w:type="pct"/>
          </w:tcPr>
          <w:p w14:paraId="0AF99DA3" w14:textId="62E19EC9" w:rsidR="00D514AF" w:rsidRPr="000F069E" w:rsidRDefault="00D514AF" w:rsidP="00D514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993" w:type="pct"/>
          </w:tcPr>
          <w:p w14:paraId="25213169" w14:textId="1EDE8F59" w:rsidR="00D514AF" w:rsidRPr="00381A91" w:rsidRDefault="00D514AF" w:rsidP="00BA6AC4">
            <w:pPr>
              <w:rPr>
                <w:rFonts w:cs="Times New Roman"/>
              </w:rPr>
            </w:pPr>
            <w:r w:rsidRPr="00D514AF">
              <w:rPr>
                <w:rFonts w:cs="Times New Roman"/>
              </w:rPr>
              <w:t>Reikalingas labiau sisteminis požiūris bendradarbiaujant su socialiniais partneriais mokslinių tyrimų projektuose.</w:t>
            </w:r>
          </w:p>
        </w:tc>
        <w:tc>
          <w:tcPr>
            <w:tcW w:w="933" w:type="pct"/>
          </w:tcPr>
          <w:p w14:paraId="7FE04A35" w14:textId="08DBFE35" w:rsidR="00D514AF" w:rsidRDefault="213B51FC" w:rsidP="537FB692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>Sukurti priemonių planą</w:t>
            </w:r>
            <w:r w:rsidR="037D9E6F" w:rsidRPr="537FB692">
              <w:rPr>
                <w:rFonts w:cs="Times New Roman"/>
              </w:rPr>
              <w:t xml:space="preserve"> </w:t>
            </w:r>
            <w:r w:rsidR="071ED77D" w:rsidRPr="537FB692">
              <w:rPr>
                <w:rFonts w:cs="Times New Roman"/>
              </w:rPr>
              <w:t>i</w:t>
            </w:r>
            <w:r w:rsidR="00BD7FC1" w:rsidRPr="537FB692">
              <w:rPr>
                <w:rFonts w:cs="Times New Roman"/>
              </w:rPr>
              <w:t>ešk</w:t>
            </w:r>
            <w:r w:rsidR="15B477E0" w:rsidRPr="537FB692">
              <w:rPr>
                <w:rFonts w:cs="Times New Roman"/>
              </w:rPr>
              <w:t xml:space="preserve">ant </w:t>
            </w:r>
            <w:r w:rsidR="00F80F1B" w:rsidRPr="537FB692">
              <w:rPr>
                <w:rFonts w:cs="Times New Roman"/>
              </w:rPr>
              <w:t xml:space="preserve">galimybių </w:t>
            </w:r>
            <w:r w:rsidR="00274B89" w:rsidRPr="537FB692">
              <w:rPr>
                <w:rFonts w:cs="Times New Roman"/>
              </w:rPr>
              <w:t>bendradarbiau</w:t>
            </w:r>
            <w:r w:rsidR="00F80F1B" w:rsidRPr="537FB692">
              <w:rPr>
                <w:rFonts w:cs="Times New Roman"/>
              </w:rPr>
              <w:t xml:space="preserve">ti </w:t>
            </w:r>
            <w:r w:rsidR="00FB441D" w:rsidRPr="537FB692">
              <w:rPr>
                <w:rFonts w:cs="Times New Roman"/>
              </w:rPr>
              <w:t>vykdant mokslinę veiklą</w:t>
            </w:r>
            <w:r w:rsidR="00065CAA" w:rsidRPr="537FB692">
              <w:rPr>
                <w:rFonts w:cs="Times New Roman"/>
              </w:rPr>
              <w:t xml:space="preserve"> </w:t>
            </w:r>
            <w:r w:rsidR="00F80F1B" w:rsidRPr="537FB692">
              <w:rPr>
                <w:rFonts w:cs="Times New Roman"/>
              </w:rPr>
              <w:t xml:space="preserve">su socialiniais partneriais mokslinių tyrimų projektuose </w:t>
            </w:r>
          </w:p>
          <w:p w14:paraId="05714FA8" w14:textId="7F8E0098" w:rsidR="00D514AF" w:rsidRDefault="00D514AF" w:rsidP="537FB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31" w:type="pct"/>
          </w:tcPr>
          <w:p w14:paraId="28D5FF93" w14:textId="77777777" w:rsidR="002E7768" w:rsidRDefault="002E7768" w:rsidP="002E77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67099095" w14:textId="77777777" w:rsidR="00D514AF" w:rsidRDefault="00D514AF" w:rsidP="00D514AF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74FC98F0" w14:textId="3BFCC59E" w:rsidR="00D514AF" w:rsidRDefault="003835EA" w:rsidP="003835EA">
            <w:pPr>
              <w:rPr>
                <w:rFonts w:cs="Times New Roman"/>
              </w:rPr>
            </w:pPr>
            <w:r>
              <w:rPr>
                <w:rFonts w:cs="Times New Roman"/>
              </w:rPr>
              <w:t>PEK</w:t>
            </w:r>
          </w:p>
        </w:tc>
        <w:tc>
          <w:tcPr>
            <w:tcW w:w="818" w:type="pct"/>
          </w:tcPr>
          <w:p w14:paraId="19843636" w14:textId="5882D6A4" w:rsidR="00D514AF" w:rsidRPr="000F069E" w:rsidRDefault="00D514AF" w:rsidP="00124A7D">
            <w:pPr>
              <w:rPr>
                <w:rFonts w:eastAsia="Calibri"/>
                <w:szCs w:val="24"/>
              </w:rPr>
            </w:pPr>
          </w:p>
        </w:tc>
      </w:tr>
      <w:tr w:rsidR="00BA15F0" w:rsidRPr="000F069E" w14:paraId="52EA29AA" w14:textId="77777777" w:rsidTr="00DF5ED8">
        <w:tc>
          <w:tcPr>
            <w:tcW w:w="458" w:type="pct"/>
          </w:tcPr>
          <w:p w14:paraId="63483D0F" w14:textId="77777777" w:rsidR="00D514AF" w:rsidRPr="000F069E" w:rsidRDefault="00D514AF" w:rsidP="00D514AF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pct"/>
          </w:tcPr>
          <w:p w14:paraId="655B6607" w14:textId="5BA56C1D" w:rsidR="00D514AF" w:rsidRPr="00381A91" w:rsidRDefault="00D514AF" w:rsidP="00D514AF">
            <w:pPr>
              <w:rPr>
                <w:rFonts w:cs="Times New Roman"/>
              </w:rPr>
            </w:pPr>
            <w:r w:rsidRPr="00D514AF">
              <w:rPr>
                <w:rFonts w:cs="Times New Roman"/>
              </w:rPr>
              <w:t>Reikia įgyvendinti reguliaresnį ir labiau organizuotą socialinių partnerių dalyvavimą gerinant studijų programas.</w:t>
            </w:r>
          </w:p>
        </w:tc>
        <w:tc>
          <w:tcPr>
            <w:tcW w:w="933" w:type="pct"/>
          </w:tcPr>
          <w:p w14:paraId="7E6604DD" w14:textId="3BF7F188" w:rsidR="00D514AF" w:rsidRDefault="009F1C1F" w:rsidP="000674BD">
            <w:pPr>
              <w:rPr>
                <w:rFonts w:eastAsia="Calibri"/>
                <w:szCs w:val="24"/>
              </w:rPr>
            </w:pPr>
            <w:r w:rsidRPr="537FB692">
              <w:rPr>
                <w:rFonts w:cs="Times New Roman"/>
              </w:rPr>
              <w:t xml:space="preserve">Skatinti socialinius partnerius dalyvauti </w:t>
            </w:r>
            <w:r w:rsidR="009A704B" w:rsidRPr="537FB692">
              <w:rPr>
                <w:rFonts w:cs="Times New Roman"/>
              </w:rPr>
              <w:t>gerinant studijų programas (</w:t>
            </w:r>
            <w:r w:rsidR="009D0295" w:rsidRPr="537FB692">
              <w:rPr>
                <w:rFonts w:cs="Times New Roman"/>
              </w:rPr>
              <w:t xml:space="preserve">kviečiant įmonių atstovus </w:t>
            </w:r>
            <w:r w:rsidR="009A704B" w:rsidRPr="537FB692">
              <w:rPr>
                <w:rFonts w:cs="Times New Roman"/>
              </w:rPr>
              <w:t xml:space="preserve">pasidalinti </w:t>
            </w:r>
            <w:r w:rsidR="00EC7D52" w:rsidRPr="537FB692">
              <w:rPr>
                <w:rFonts w:cs="Times New Roman"/>
              </w:rPr>
              <w:t xml:space="preserve">įmonėse </w:t>
            </w:r>
            <w:r w:rsidR="009A704B" w:rsidRPr="537FB692">
              <w:rPr>
                <w:rFonts w:cs="Times New Roman"/>
              </w:rPr>
              <w:t>vykdoma veikla</w:t>
            </w:r>
            <w:r w:rsidR="000674BD">
              <w:rPr>
                <w:rFonts w:cs="Times New Roman"/>
              </w:rPr>
              <w:t xml:space="preserve"> ir</w:t>
            </w:r>
            <w:r w:rsidR="00EC7D52" w:rsidRPr="537FB692">
              <w:rPr>
                <w:rFonts w:cs="Times New Roman"/>
              </w:rPr>
              <w:t xml:space="preserve"> prisidėti prie studijų materialiųjų išteklių </w:t>
            </w:r>
            <w:r w:rsidR="00414801" w:rsidRPr="537FB692">
              <w:rPr>
                <w:rFonts w:cs="Times New Roman"/>
              </w:rPr>
              <w:t xml:space="preserve">bazės </w:t>
            </w:r>
            <w:r w:rsidR="00EC7D52" w:rsidRPr="537FB692">
              <w:rPr>
                <w:rFonts w:cs="Times New Roman"/>
              </w:rPr>
              <w:t>gerinimo)</w:t>
            </w:r>
          </w:p>
        </w:tc>
        <w:tc>
          <w:tcPr>
            <w:tcW w:w="931" w:type="pct"/>
          </w:tcPr>
          <w:p w14:paraId="5DFAB614" w14:textId="77777777" w:rsidR="002E7768" w:rsidRDefault="002E7768" w:rsidP="002E77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2AD588D3" w14:textId="77777777" w:rsidR="00D514AF" w:rsidRDefault="00D514AF" w:rsidP="00D514AF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5CEEC7EA" w14:textId="7702CD8F" w:rsidR="00D514AF" w:rsidRDefault="00BA45C0" w:rsidP="00E63476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 xml:space="preserve">SPK nariai, </w:t>
            </w:r>
            <w:r w:rsidR="00E63476">
              <w:rPr>
                <w:rFonts w:cs="Times New Roman"/>
              </w:rPr>
              <w:t>PEK</w:t>
            </w:r>
          </w:p>
        </w:tc>
        <w:tc>
          <w:tcPr>
            <w:tcW w:w="818" w:type="pct"/>
          </w:tcPr>
          <w:p w14:paraId="4F783DDD" w14:textId="52146D0D" w:rsidR="00322371" w:rsidRPr="000F069E" w:rsidRDefault="00322371" w:rsidP="008061E3">
            <w:pPr>
              <w:rPr>
                <w:rFonts w:cs="Times New Roman"/>
              </w:rPr>
            </w:pPr>
          </w:p>
        </w:tc>
      </w:tr>
      <w:tr w:rsidR="00BA15F0" w:rsidRPr="000F069E" w14:paraId="271F1761" w14:textId="77777777" w:rsidTr="00DF5ED8">
        <w:tc>
          <w:tcPr>
            <w:tcW w:w="458" w:type="pct"/>
          </w:tcPr>
          <w:p w14:paraId="40925CC6" w14:textId="5B1AAE84" w:rsidR="00D514AF" w:rsidRPr="000F069E" w:rsidRDefault="00771E7B" w:rsidP="00D514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993" w:type="pct"/>
          </w:tcPr>
          <w:p w14:paraId="49FDEF5F" w14:textId="05E53A1C" w:rsidR="00D514AF" w:rsidRPr="00381A91" w:rsidRDefault="00B069C5" w:rsidP="00B069C5">
            <w:pPr>
              <w:rPr>
                <w:rFonts w:cs="Times New Roman"/>
              </w:rPr>
            </w:pPr>
            <w:bookmarkStart w:id="1" w:name="OLE_LINK20"/>
            <w:r w:rsidRPr="537FB692">
              <w:rPr>
                <w:rFonts w:cs="Times New Roman"/>
              </w:rPr>
              <w:t xml:space="preserve">Mažėjantis norinčių studijuoti asmenų skaičius kelia susirūpinimą bent jau trumpuoju laikotarpiu ir reikalauja konkretaus veiksmų plano, išeinančio iš </w:t>
            </w:r>
            <w:r w:rsidRPr="00BF080A">
              <w:rPr>
                <w:rFonts w:cs="Times New Roman"/>
              </w:rPr>
              <w:t>dabartinės prezentacijų mokiniams vykdymo praktikos ribų.</w:t>
            </w:r>
            <w:r w:rsidRPr="537FB692">
              <w:rPr>
                <w:rFonts w:cs="Times New Roman"/>
              </w:rPr>
              <w:t xml:space="preserve"> </w:t>
            </w:r>
            <w:bookmarkEnd w:id="1"/>
          </w:p>
        </w:tc>
        <w:tc>
          <w:tcPr>
            <w:tcW w:w="933" w:type="pct"/>
          </w:tcPr>
          <w:p w14:paraId="2DD4E861" w14:textId="29051219" w:rsidR="00D514AF" w:rsidRDefault="00E14173" w:rsidP="00E14173">
            <w:pPr>
              <w:rPr>
                <w:rFonts w:cs="Times New Roman"/>
              </w:rPr>
            </w:pPr>
            <w:r>
              <w:rPr>
                <w:rFonts w:cs="Times New Roman"/>
              </w:rPr>
              <w:t>Vadovaujantis universiteto gairėmis s</w:t>
            </w:r>
            <w:r w:rsidR="003F552C">
              <w:rPr>
                <w:rFonts w:cs="Times New Roman"/>
              </w:rPr>
              <w:t>varstyti galimybes ir p</w:t>
            </w:r>
            <w:r w:rsidR="00422337">
              <w:rPr>
                <w:rFonts w:cs="Times New Roman"/>
              </w:rPr>
              <w:t xml:space="preserve">arengti veiksmų planą norintiems studijuoti asmenims pritraukti </w:t>
            </w:r>
          </w:p>
        </w:tc>
        <w:tc>
          <w:tcPr>
            <w:tcW w:w="931" w:type="pct"/>
          </w:tcPr>
          <w:p w14:paraId="601A1EA3" w14:textId="77777777" w:rsidR="002E7768" w:rsidRDefault="002E7768" w:rsidP="002E77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5BE3950C" w14:textId="77777777" w:rsidR="00D514AF" w:rsidRDefault="00D514AF" w:rsidP="00D514AF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44D9D5F6" w14:textId="24AB9352" w:rsidR="00D514AF" w:rsidRDefault="00EC010A" w:rsidP="00F06BE5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 xml:space="preserve">SPK nariai, </w:t>
            </w:r>
            <w:r w:rsidR="00F06BE5">
              <w:rPr>
                <w:rFonts w:cs="Times New Roman"/>
              </w:rPr>
              <w:t>PEK</w:t>
            </w:r>
          </w:p>
        </w:tc>
        <w:tc>
          <w:tcPr>
            <w:tcW w:w="818" w:type="pct"/>
          </w:tcPr>
          <w:p w14:paraId="73F207B8" w14:textId="74A86BDA" w:rsidR="00D514AF" w:rsidRPr="000F069E" w:rsidRDefault="00D514AF" w:rsidP="00F06BE5">
            <w:pPr>
              <w:rPr>
                <w:rFonts w:cs="Times New Roman"/>
              </w:rPr>
            </w:pPr>
          </w:p>
        </w:tc>
      </w:tr>
      <w:tr w:rsidR="003159A4" w:rsidRPr="000F069E" w14:paraId="4AF257C9" w14:textId="77777777" w:rsidTr="002D30F4">
        <w:trPr>
          <w:trHeight w:val="2259"/>
        </w:trPr>
        <w:tc>
          <w:tcPr>
            <w:tcW w:w="458" w:type="pct"/>
          </w:tcPr>
          <w:p w14:paraId="15E2707D" w14:textId="77777777" w:rsidR="003159A4" w:rsidRPr="000F069E" w:rsidRDefault="003159A4" w:rsidP="003159A4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pct"/>
          </w:tcPr>
          <w:p w14:paraId="2B023345" w14:textId="6B49314F" w:rsidR="003159A4" w:rsidRPr="003159A4" w:rsidRDefault="003159A4" w:rsidP="003159A4">
            <w:pPr>
              <w:rPr>
                <w:rFonts w:cs="Times New Roman"/>
              </w:rPr>
            </w:pPr>
            <w:r w:rsidRPr="003159A4">
              <w:rPr>
                <w:rFonts w:cs="Times New Roman"/>
              </w:rPr>
              <w:t>Universitetas turėtų peržiūrėti studentų reikalavimus dėl akademinio nusižengimo ir, jei tai yra būtina, pateikti veiksmų planą, kad būtų galima įveikti plagijavimą studentų tarpe ir slaptus susitarimus vertinimų metu.</w:t>
            </w:r>
          </w:p>
        </w:tc>
        <w:tc>
          <w:tcPr>
            <w:tcW w:w="933" w:type="pct"/>
          </w:tcPr>
          <w:p w14:paraId="0F2B3F4B" w14:textId="586D0708" w:rsidR="003159A4" w:rsidRPr="003159A4" w:rsidRDefault="003159A4" w:rsidP="003159A4">
            <w:pPr>
              <w:rPr>
                <w:rFonts w:cs="Times New Roman"/>
              </w:rPr>
            </w:pPr>
            <w:r w:rsidRPr="003159A4">
              <w:rPr>
                <w:rFonts w:cs="Times New Roman"/>
              </w:rPr>
              <w:t>Bendradarbiaujant su Akademinės paramos centru (APC) ir Studijų direkcija (SD) aptarti šią rekomendaciją ir pasiūlyti sprendimą.</w:t>
            </w:r>
          </w:p>
          <w:p w14:paraId="0E7598F7" w14:textId="3593F6FE" w:rsidR="003159A4" w:rsidRPr="003159A4" w:rsidRDefault="003159A4" w:rsidP="003159A4">
            <w:pPr>
              <w:rPr>
                <w:rFonts w:cs="Times New Roman"/>
              </w:rPr>
            </w:pPr>
          </w:p>
        </w:tc>
        <w:tc>
          <w:tcPr>
            <w:tcW w:w="931" w:type="pct"/>
          </w:tcPr>
          <w:p w14:paraId="44799813" w14:textId="77777777" w:rsidR="003159A4" w:rsidRDefault="003159A4" w:rsidP="003159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5079E65D" w14:textId="77777777" w:rsidR="003159A4" w:rsidRPr="003159A4" w:rsidRDefault="003159A4" w:rsidP="003159A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67" w:type="pct"/>
          </w:tcPr>
          <w:p w14:paraId="6F87652F" w14:textId="0779EE72" w:rsidR="003159A4" w:rsidRPr="003159A4" w:rsidRDefault="003159A4" w:rsidP="003159A4">
            <w:pPr>
              <w:rPr>
                <w:rFonts w:cs="Times New Roman"/>
              </w:rPr>
            </w:pPr>
            <w:r w:rsidRPr="003159A4">
              <w:rPr>
                <w:rFonts w:cs="Times New Roman"/>
              </w:rPr>
              <w:t>SPK nariai, APC, SD</w:t>
            </w:r>
          </w:p>
        </w:tc>
        <w:tc>
          <w:tcPr>
            <w:tcW w:w="818" w:type="pct"/>
          </w:tcPr>
          <w:p w14:paraId="3841AF64" w14:textId="1BE4153A" w:rsidR="003159A4" w:rsidRPr="006E4B73" w:rsidRDefault="003159A4" w:rsidP="003159A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3159A4" w:rsidRPr="000F069E" w14:paraId="47FEF946" w14:textId="77777777" w:rsidTr="00DF5ED8">
        <w:tc>
          <w:tcPr>
            <w:tcW w:w="458" w:type="pct"/>
          </w:tcPr>
          <w:p w14:paraId="00764EEE" w14:textId="244DE72B" w:rsidR="003159A4" w:rsidRPr="000F069E" w:rsidRDefault="003159A4" w:rsidP="003159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993" w:type="pct"/>
          </w:tcPr>
          <w:p w14:paraId="55BEB24A" w14:textId="0C45A837" w:rsidR="003159A4" w:rsidRPr="00306DB7" w:rsidRDefault="003159A4" w:rsidP="003159A4">
            <w:pPr>
              <w:rPr>
                <w:rFonts w:cs="Times New Roman"/>
              </w:rPr>
            </w:pPr>
            <w:r w:rsidRPr="00306DB7">
              <w:rPr>
                <w:rFonts w:cs="Times New Roman"/>
              </w:rPr>
              <w:t xml:space="preserve">Rekomenduojama, kad būtų sukurtas aiškus ir nuoseklus procesas, suteikiant studentams galimybę pateikti atsiliepimus apie jų darbo ir vertinimo rezultatus ir teikti detalesnę informaciją studentams semestro pradžioje. </w:t>
            </w:r>
          </w:p>
        </w:tc>
        <w:tc>
          <w:tcPr>
            <w:tcW w:w="933" w:type="pct"/>
          </w:tcPr>
          <w:p w14:paraId="0FCA92B5" w14:textId="67ACDB1B" w:rsidR="003159A4" w:rsidRDefault="003159A4" w:rsidP="003159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Įpareigoti studijų krypties pakopose dėstančius dėstytojus supažindinti studentus su dėstomo dalyko mokymo(si), vertinimo informacija, pateikti, kur šią informaciją galima rasti papildomai (Mano VILNIUSTECH), išnagrinėti galimus būdus, kaip </w:t>
            </w:r>
            <w:r w:rsidRPr="00306DB7">
              <w:rPr>
                <w:rFonts w:cs="Times New Roman"/>
              </w:rPr>
              <w:t>studentams pateikti atsiliepimus apie jų darbo ir vertinimo rezultatus</w:t>
            </w:r>
            <w:r>
              <w:rPr>
                <w:rFonts w:cs="Times New Roman"/>
              </w:rPr>
              <w:t>, bei atsižvelgus į juos numatyti, kaip tą įgyvendinti</w:t>
            </w:r>
          </w:p>
        </w:tc>
        <w:tc>
          <w:tcPr>
            <w:tcW w:w="931" w:type="pct"/>
          </w:tcPr>
          <w:p w14:paraId="3A24A364" w14:textId="77777777" w:rsidR="003159A4" w:rsidRDefault="003159A4" w:rsidP="003159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696AF62E" w14:textId="77777777" w:rsidR="003159A4" w:rsidRDefault="003159A4" w:rsidP="003159A4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4773270A" w14:textId="43F94503" w:rsidR="003159A4" w:rsidRDefault="003159A4" w:rsidP="003159A4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 xml:space="preserve">SPK nariai, </w:t>
            </w:r>
            <w:r>
              <w:rPr>
                <w:rFonts w:cs="Times New Roman"/>
              </w:rPr>
              <w:t>PEK</w:t>
            </w:r>
            <w:r w:rsidRPr="537FB692">
              <w:rPr>
                <w:rFonts w:cs="Times New Roman"/>
              </w:rPr>
              <w:t>, Energijos inžinerijos studijų programose dalyvaujantys dėstytojai</w:t>
            </w:r>
          </w:p>
        </w:tc>
        <w:tc>
          <w:tcPr>
            <w:tcW w:w="818" w:type="pct"/>
          </w:tcPr>
          <w:p w14:paraId="27AD8CCA" w14:textId="069259E8" w:rsidR="003159A4" w:rsidRPr="000F069E" w:rsidRDefault="003159A4" w:rsidP="003159A4">
            <w:pPr>
              <w:rPr>
                <w:rFonts w:eastAsia="Calibri" w:cs="Times New Roman"/>
                <w:szCs w:val="24"/>
              </w:rPr>
            </w:pPr>
          </w:p>
        </w:tc>
      </w:tr>
      <w:tr w:rsidR="003159A4" w:rsidRPr="000F069E" w14:paraId="186C27A5" w14:textId="77777777" w:rsidTr="00DF5ED8">
        <w:tc>
          <w:tcPr>
            <w:tcW w:w="458" w:type="pct"/>
          </w:tcPr>
          <w:p w14:paraId="300B9330" w14:textId="24C398EB" w:rsidR="003159A4" w:rsidRDefault="003159A4" w:rsidP="003159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993" w:type="pct"/>
          </w:tcPr>
          <w:p w14:paraId="471A725A" w14:textId="298A5557" w:rsidR="003159A4" w:rsidRPr="00381A91" w:rsidRDefault="003159A4" w:rsidP="003159A4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>Reikalingi sprendimai, susiję su dėstytojų mobilumo didinimu antrojoje pakopoje.</w:t>
            </w:r>
          </w:p>
        </w:tc>
        <w:tc>
          <w:tcPr>
            <w:tcW w:w="933" w:type="pct"/>
          </w:tcPr>
          <w:p w14:paraId="5CA1BF56" w14:textId="67864B1E" w:rsidR="003159A4" w:rsidRPr="006D68CD" w:rsidRDefault="003159A4" w:rsidP="003159A4">
            <w:pPr>
              <w:rPr>
                <w:rFonts w:cs="Times New Roman"/>
              </w:rPr>
            </w:pPr>
            <w:r w:rsidRPr="006D68CD">
              <w:rPr>
                <w:rFonts w:cs="Times New Roman"/>
              </w:rPr>
              <w:t xml:space="preserve">Išnagrinėti priežastis, dėl kurių sumažėjo mobilumas, įvertinti jo didinimo galimybes ir pasiūlyti sprendimus </w:t>
            </w:r>
            <w:r w:rsidRPr="006D68CD">
              <w:rPr>
                <w:rFonts w:cs="Times New Roman"/>
              </w:rPr>
              <w:lastRenderedPageBreak/>
              <w:t>dėstytojų mobilumui ypač antrojoje pakopoje didinti</w:t>
            </w:r>
          </w:p>
        </w:tc>
        <w:tc>
          <w:tcPr>
            <w:tcW w:w="931" w:type="pct"/>
          </w:tcPr>
          <w:p w14:paraId="7ACE2587" w14:textId="77777777" w:rsidR="003159A4" w:rsidRDefault="003159A4" w:rsidP="003159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2021-09-15 – 2024-03-15</w:t>
            </w:r>
          </w:p>
          <w:p w14:paraId="44361B83" w14:textId="77777777" w:rsidR="003159A4" w:rsidRDefault="003159A4" w:rsidP="003159A4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7F05D671" w14:textId="63F8F0CB" w:rsidR="003159A4" w:rsidRDefault="003159A4" w:rsidP="003159A4">
            <w:pPr>
              <w:rPr>
                <w:rFonts w:cs="Times New Roman"/>
              </w:rPr>
            </w:pPr>
            <w:r w:rsidRPr="537FB692">
              <w:rPr>
                <w:rFonts w:cs="Times New Roman"/>
              </w:rPr>
              <w:t>P</w:t>
            </w:r>
            <w:r>
              <w:rPr>
                <w:rFonts w:cs="Times New Roman"/>
              </w:rPr>
              <w:t>EK</w:t>
            </w:r>
            <w:r w:rsidRPr="537FB692">
              <w:rPr>
                <w:rFonts w:cs="Times New Roman"/>
              </w:rPr>
              <w:t>, A</w:t>
            </w:r>
            <w:r>
              <w:rPr>
                <w:rFonts w:cs="Times New Roman"/>
              </w:rPr>
              <w:t>PF</w:t>
            </w:r>
            <w:r w:rsidRPr="537FB692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Užsienio ryšių direkcija (</w:t>
            </w:r>
            <w:r w:rsidRPr="537FB692">
              <w:rPr>
                <w:rFonts w:cs="Times New Roman"/>
              </w:rPr>
              <w:t>URD</w:t>
            </w:r>
            <w:r>
              <w:rPr>
                <w:rFonts w:cs="Times New Roman"/>
              </w:rPr>
              <w:t>)</w:t>
            </w:r>
            <w:r w:rsidRPr="537FB692">
              <w:rPr>
                <w:rFonts w:cs="Times New Roman"/>
              </w:rPr>
              <w:t>, Energijos inžinerijos studijų programose dalyvaujantys dėstytojai</w:t>
            </w:r>
          </w:p>
          <w:p w14:paraId="6ACA3F30" w14:textId="3CD61741" w:rsidR="003159A4" w:rsidRDefault="003159A4" w:rsidP="003159A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18" w:type="pct"/>
          </w:tcPr>
          <w:p w14:paraId="6BE70308" w14:textId="378FC843" w:rsidR="003159A4" w:rsidRPr="000F069E" w:rsidRDefault="003159A4" w:rsidP="003159A4">
            <w:pPr>
              <w:spacing w:line="259" w:lineRule="auto"/>
              <w:rPr>
                <w:rFonts w:eastAsia="Calibri" w:cs="Times New Roman"/>
                <w:szCs w:val="24"/>
              </w:rPr>
            </w:pPr>
          </w:p>
        </w:tc>
      </w:tr>
      <w:tr w:rsidR="003159A4" w:rsidRPr="000F069E" w14:paraId="00DBEF44" w14:textId="77777777" w:rsidTr="00DF5ED8">
        <w:tc>
          <w:tcPr>
            <w:tcW w:w="458" w:type="pct"/>
          </w:tcPr>
          <w:p w14:paraId="4EA516D7" w14:textId="11FA56DA" w:rsidR="003159A4" w:rsidRDefault="003159A4" w:rsidP="003159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993" w:type="pct"/>
            <w:vAlign w:val="center"/>
          </w:tcPr>
          <w:p w14:paraId="2E6A1EC8" w14:textId="40BC7563" w:rsidR="003159A4" w:rsidRPr="00306DB7" w:rsidRDefault="003159A4" w:rsidP="003159A4">
            <w:pPr>
              <w:rPr>
                <w:rFonts w:cs="Times New Roman"/>
              </w:rPr>
            </w:pPr>
            <w:r w:rsidRPr="00CF508D">
              <w:rPr>
                <w:rFonts w:cs="Times New Roman"/>
              </w:rPr>
              <w:t>Universitetas turėtų suteikti daugiau lėšų plėtoti ir prižiūrėti laboratorinę įrangą</w:t>
            </w:r>
            <w:r w:rsidRPr="00306DB7">
              <w:rPr>
                <w:rFonts w:cs="Times New Roman"/>
              </w:rPr>
              <w:t>, kurios atnaujinimas ir priežiūra šiuo metu daugiausia atliekama mokslinių tyrimų projektų fondų lėšomis.</w:t>
            </w:r>
          </w:p>
        </w:tc>
        <w:tc>
          <w:tcPr>
            <w:tcW w:w="933" w:type="pct"/>
          </w:tcPr>
          <w:p w14:paraId="382BAEFB" w14:textId="212E7FA2" w:rsidR="003159A4" w:rsidRPr="006D68CD" w:rsidRDefault="00D53248" w:rsidP="00C974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Rekomenduoti SD sudaryti </w:t>
            </w:r>
            <w:r w:rsidR="00C974A2">
              <w:rPr>
                <w:rFonts w:cs="Times New Roman"/>
              </w:rPr>
              <w:t xml:space="preserve">nuolatinį studijoms skirtos </w:t>
            </w:r>
            <w:r>
              <w:rPr>
                <w:rFonts w:cs="Times New Roman"/>
              </w:rPr>
              <w:t xml:space="preserve">laboratorinės įrangos </w:t>
            </w:r>
            <w:r w:rsidR="00C974A2">
              <w:rPr>
                <w:rFonts w:cs="Times New Roman"/>
              </w:rPr>
              <w:t>atnaujinimo finansavimo</w:t>
            </w:r>
            <w:r w:rsidR="00707743">
              <w:rPr>
                <w:rFonts w:cs="Times New Roman"/>
              </w:rPr>
              <w:t xml:space="preserve"> planą</w:t>
            </w:r>
          </w:p>
        </w:tc>
        <w:tc>
          <w:tcPr>
            <w:tcW w:w="931" w:type="pct"/>
          </w:tcPr>
          <w:p w14:paraId="62906443" w14:textId="77777777" w:rsidR="00350915" w:rsidRDefault="00350915" w:rsidP="00350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7EE4A23B" w14:textId="77777777" w:rsidR="003159A4" w:rsidRDefault="003159A4" w:rsidP="003159A4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2430A37A" w14:textId="54C77056" w:rsidR="003159A4" w:rsidRDefault="006D68CD" w:rsidP="003159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SD, </w:t>
            </w:r>
            <w:r w:rsidR="003159A4">
              <w:rPr>
                <w:rFonts w:cs="Times New Roman"/>
              </w:rPr>
              <w:t>Studijų prorektorius</w:t>
            </w:r>
          </w:p>
        </w:tc>
        <w:tc>
          <w:tcPr>
            <w:tcW w:w="818" w:type="pct"/>
          </w:tcPr>
          <w:p w14:paraId="78FC447A" w14:textId="63E21B17" w:rsidR="003159A4" w:rsidRPr="000F069E" w:rsidRDefault="003159A4" w:rsidP="003159A4">
            <w:pPr>
              <w:rPr>
                <w:rFonts w:eastAsia="Calibri" w:cs="Times New Roman"/>
                <w:szCs w:val="24"/>
              </w:rPr>
            </w:pPr>
          </w:p>
        </w:tc>
      </w:tr>
      <w:tr w:rsidR="003159A4" w:rsidRPr="000F069E" w14:paraId="609183CB" w14:textId="77777777" w:rsidTr="00DF5ED8">
        <w:tc>
          <w:tcPr>
            <w:tcW w:w="458" w:type="pct"/>
          </w:tcPr>
          <w:p w14:paraId="5A8A1D96" w14:textId="77777777" w:rsidR="003159A4" w:rsidRDefault="003159A4" w:rsidP="003159A4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pct"/>
          </w:tcPr>
          <w:p w14:paraId="7F9DF23C" w14:textId="5BB491FD" w:rsidR="003159A4" w:rsidRPr="00381A91" w:rsidRDefault="003159A4" w:rsidP="003159A4">
            <w:pPr>
              <w:rPr>
                <w:rFonts w:cs="Times New Roman"/>
              </w:rPr>
            </w:pPr>
            <w:r w:rsidRPr="00306DB7">
              <w:rPr>
                <w:rFonts w:cs="Times New Roman"/>
              </w:rPr>
              <w:t>Yra poreikis turėti nuolatinio kompiuterių, kuriuos naudoja studentai, modernizavimo ir atnaujinimo planą.</w:t>
            </w:r>
          </w:p>
        </w:tc>
        <w:tc>
          <w:tcPr>
            <w:tcW w:w="933" w:type="pct"/>
          </w:tcPr>
          <w:p w14:paraId="26E13FCB" w14:textId="3DC9B2E3" w:rsidR="003159A4" w:rsidRPr="00814034" w:rsidRDefault="003159A4" w:rsidP="003159A4">
            <w:pPr>
              <w:rPr>
                <w:rFonts w:cs="Times New Roman"/>
              </w:rPr>
            </w:pPr>
            <w:r w:rsidRPr="00814034">
              <w:rPr>
                <w:rFonts w:cs="Times New Roman"/>
              </w:rPr>
              <w:t>Sudaryti nuolatinio kompiuterių studentams atnaujinimo planą</w:t>
            </w:r>
          </w:p>
          <w:p w14:paraId="6962D377" w14:textId="1A89CAE5" w:rsidR="003159A4" w:rsidRPr="00D04BD5" w:rsidRDefault="003159A4" w:rsidP="003159A4">
            <w:pPr>
              <w:rPr>
                <w:rFonts w:cs="Times New Roman"/>
                <w:highlight w:val="yellow"/>
              </w:rPr>
            </w:pPr>
          </w:p>
        </w:tc>
        <w:tc>
          <w:tcPr>
            <w:tcW w:w="931" w:type="pct"/>
          </w:tcPr>
          <w:p w14:paraId="3883F05E" w14:textId="77777777" w:rsidR="00350915" w:rsidRDefault="00350915" w:rsidP="00350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0F577D2F" w14:textId="77777777" w:rsidR="003159A4" w:rsidRPr="00814034" w:rsidRDefault="003159A4" w:rsidP="003159A4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2A6A3EB4" w14:textId="4E9000AA" w:rsidR="003159A4" w:rsidRPr="00814034" w:rsidRDefault="00E05C1B" w:rsidP="003159A4">
            <w:pPr>
              <w:rPr>
                <w:rFonts w:cs="Times New Roman"/>
              </w:rPr>
            </w:pPr>
            <w:r>
              <w:rPr>
                <w:rFonts w:cs="Times New Roman"/>
              </w:rPr>
              <w:t>APF, studijų prorektorius</w:t>
            </w:r>
          </w:p>
        </w:tc>
        <w:tc>
          <w:tcPr>
            <w:tcW w:w="818" w:type="pct"/>
          </w:tcPr>
          <w:p w14:paraId="48F455EF" w14:textId="5624B9C1" w:rsidR="003159A4" w:rsidRPr="000F069E" w:rsidRDefault="003159A4" w:rsidP="003159A4">
            <w:pPr>
              <w:rPr>
                <w:rFonts w:cs="Times New Roman"/>
              </w:rPr>
            </w:pPr>
          </w:p>
        </w:tc>
      </w:tr>
      <w:tr w:rsidR="003159A4" w:rsidRPr="000F069E" w14:paraId="10C0F7C6" w14:textId="77777777" w:rsidTr="00DF5ED8">
        <w:tc>
          <w:tcPr>
            <w:tcW w:w="458" w:type="pct"/>
          </w:tcPr>
          <w:p w14:paraId="754651C4" w14:textId="5192E040" w:rsidR="003159A4" w:rsidRDefault="003159A4" w:rsidP="003159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993" w:type="pct"/>
          </w:tcPr>
          <w:p w14:paraId="25BBB99A" w14:textId="6161C007" w:rsidR="003159A4" w:rsidRPr="00381A91" w:rsidRDefault="003159A4" w:rsidP="003159A4">
            <w:pPr>
              <w:rPr>
                <w:rFonts w:cs="Times New Roman"/>
              </w:rPr>
            </w:pPr>
            <w:r w:rsidRPr="00306DB7">
              <w:rPr>
                <w:rFonts w:cs="Times New Roman"/>
              </w:rPr>
              <w:t>Reikia optimizuoti studentų apklausų kiekį ir kokybę. Šiuo metu vykdoma pernelyg daug apklausų, kurios studentams gali sukelti nuovargį.</w:t>
            </w:r>
          </w:p>
        </w:tc>
        <w:tc>
          <w:tcPr>
            <w:tcW w:w="933" w:type="pct"/>
          </w:tcPr>
          <w:p w14:paraId="2C342F78" w14:textId="39B8BB2D" w:rsidR="003159A4" w:rsidRPr="00350915" w:rsidRDefault="003159A4" w:rsidP="003159A4">
            <w:pPr>
              <w:rPr>
                <w:rFonts w:cs="Times New Roman"/>
              </w:rPr>
            </w:pPr>
            <w:r w:rsidRPr="00350915">
              <w:rPr>
                <w:rFonts w:cs="Times New Roman"/>
              </w:rPr>
              <w:t xml:space="preserve">Siūlyti SD optimizuoti apklausų skaičių ir kokybę </w:t>
            </w:r>
          </w:p>
          <w:p w14:paraId="2DCC03EA" w14:textId="62D2AB34" w:rsidR="003159A4" w:rsidRPr="00350915" w:rsidRDefault="003159A4" w:rsidP="003159A4">
            <w:pPr>
              <w:rPr>
                <w:rFonts w:cs="Times New Roman"/>
              </w:rPr>
            </w:pPr>
          </w:p>
        </w:tc>
        <w:tc>
          <w:tcPr>
            <w:tcW w:w="931" w:type="pct"/>
          </w:tcPr>
          <w:p w14:paraId="515F62D0" w14:textId="77777777" w:rsidR="00350915" w:rsidRDefault="00350915" w:rsidP="003509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2021-09-15 – 2024-03-15</w:t>
            </w:r>
          </w:p>
          <w:p w14:paraId="06BEFFFA" w14:textId="77777777" w:rsidR="003159A4" w:rsidRPr="00350915" w:rsidRDefault="003159A4" w:rsidP="003159A4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pct"/>
          </w:tcPr>
          <w:p w14:paraId="4BF78540" w14:textId="77777777" w:rsidR="003159A4" w:rsidRPr="00350915" w:rsidRDefault="003159A4" w:rsidP="003159A4">
            <w:pPr>
              <w:rPr>
                <w:rFonts w:cs="Times New Roman"/>
              </w:rPr>
            </w:pPr>
            <w:r w:rsidRPr="00350915">
              <w:rPr>
                <w:rFonts w:cs="Times New Roman"/>
              </w:rPr>
              <w:t>SD</w:t>
            </w:r>
          </w:p>
          <w:p w14:paraId="686ED6BC" w14:textId="6BB99736" w:rsidR="003159A4" w:rsidRPr="00350915" w:rsidRDefault="003159A4" w:rsidP="003159A4">
            <w:pPr>
              <w:rPr>
                <w:rFonts w:cs="Times New Roman"/>
              </w:rPr>
            </w:pPr>
          </w:p>
        </w:tc>
        <w:tc>
          <w:tcPr>
            <w:tcW w:w="818" w:type="pct"/>
          </w:tcPr>
          <w:p w14:paraId="7F30DDFC" w14:textId="2B96F091" w:rsidR="003159A4" w:rsidRPr="000F069E" w:rsidRDefault="003159A4" w:rsidP="003159A4">
            <w:pPr>
              <w:rPr>
                <w:rFonts w:eastAsia="Calibri" w:cs="Times New Roman"/>
                <w:szCs w:val="24"/>
              </w:rPr>
            </w:pPr>
          </w:p>
        </w:tc>
      </w:tr>
    </w:tbl>
    <w:p w14:paraId="1D413E42" w14:textId="77777777" w:rsidR="003F31D2" w:rsidRPr="000F069E" w:rsidRDefault="003F31D2" w:rsidP="003F31D2">
      <w:pPr>
        <w:spacing w:after="0" w:line="240" w:lineRule="auto"/>
        <w:jc w:val="center"/>
        <w:rPr>
          <w:rFonts w:cs="Times New Roman"/>
        </w:rPr>
      </w:pPr>
    </w:p>
    <w:p w14:paraId="6AFE2D1C" w14:textId="77777777" w:rsidR="003F31D2" w:rsidRDefault="003F31D2" w:rsidP="003F31D2">
      <w:pPr>
        <w:spacing w:after="0" w:line="240" w:lineRule="auto"/>
        <w:rPr>
          <w:rFonts w:cs="Times New Roman"/>
          <w:szCs w:val="24"/>
        </w:rPr>
      </w:pPr>
    </w:p>
    <w:p w14:paraId="341581C9" w14:textId="77777777" w:rsidR="003F31D2" w:rsidRDefault="003F31D2" w:rsidP="003F31D2">
      <w:pPr>
        <w:spacing w:after="0" w:line="240" w:lineRule="auto"/>
        <w:rPr>
          <w:rFonts w:cs="Times New Roman"/>
          <w:szCs w:val="24"/>
        </w:rPr>
      </w:pPr>
    </w:p>
    <w:p w14:paraId="3820C42D" w14:textId="77777777" w:rsidR="003F31D2" w:rsidRPr="00912688" w:rsidRDefault="003F31D2" w:rsidP="003F31D2">
      <w:pPr>
        <w:rPr>
          <w:color w:val="000000" w:themeColor="text1"/>
        </w:rPr>
      </w:pPr>
    </w:p>
    <w:p w14:paraId="7106E57F" w14:textId="77777777" w:rsidR="004F2F72" w:rsidRDefault="004F2F72" w:rsidP="004F2F72"/>
    <w:sectPr w:rsidR="004F2F72" w:rsidSect="002B25FA">
      <w:footerReference w:type="defaul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8E83DE" w16cex:dateUtc="2022-01-18T08:39:57.864Z"/>
  <w16cex:commentExtensible w16cex:durableId="145D8C1B" w16cex:dateUtc="2022-01-18T08:40:55.791Z"/>
  <w16cex:commentExtensible w16cex:durableId="4B54F392" w16cex:dateUtc="2022-01-18T11:23:58.242Z"/>
  <w16cex:commentExtensible w16cex:durableId="0C04D7BF" w16cex:dateUtc="2022-01-19T09:46:23.686Z"/>
  <w16cex:commentExtensible w16cex:durableId="22443861" w16cex:dateUtc="2022-01-19T09:48:15.6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B4B8CB" w16cid:durableId="160591A6"/>
  <w16cid:commentId w16cid:paraId="0FF0967F" w16cid:durableId="3E492A59"/>
  <w16cid:commentId w16cid:paraId="34647EFD" w16cid:durableId="75150439"/>
  <w16cid:commentId w16cid:paraId="1D3EF32E" w16cid:durableId="248E83DE"/>
  <w16cid:commentId w16cid:paraId="651629FC" w16cid:durableId="145D8C1B"/>
  <w16cid:commentId w16cid:paraId="2D489366" w16cid:durableId="4B54F392"/>
  <w16cid:commentId w16cid:paraId="21A2301C" w16cid:durableId="0C04D7BF"/>
  <w16cid:commentId w16cid:paraId="426E8558" w16cid:durableId="224438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1970" w14:textId="77777777" w:rsidR="00E23868" w:rsidRDefault="00E23868" w:rsidP="00BA6AC4">
      <w:pPr>
        <w:spacing w:after="0" w:line="240" w:lineRule="auto"/>
      </w:pPr>
      <w:r>
        <w:separator/>
      </w:r>
    </w:p>
  </w:endnote>
  <w:endnote w:type="continuationSeparator" w:id="0">
    <w:p w14:paraId="598BFD0A" w14:textId="77777777" w:rsidR="00E23868" w:rsidRDefault="00E23868" w:rsidP="00BA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256393"/>
      <w:docPartObj>
        <w:docPartGallery w:val="Page Numbers (Bottom of Page)"/>
        <w:docPartUnique/>
      </w:docPartObj>
    </w:sdtPr>
    <w:sdtEndPr/>
    <w:sdtContent>
      <w:p w14:paraId="67C5739D" w14:textId="11B4979C" w:rsidR="00BA6AC4" w:rsidRDefault="00BA6A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FC7">
          <w:rPr>
            <w:noProof/>
          </w:rPr>
          <w:t>2</w:t>
        </w:r>
        <w:r>
          <w:fldChar w:fldCharType="end"/>
        </w:r>
      </w:p>
    </w:sdtContent>
  </w:sdt>
  <w:p w14:paraId="0664EE7A" w14:textId="77777777" w:rsidR="00BA6AC4" w:rsidRDefault="00BA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0CAC" w14:textId="77777777" w:rsidR="00E23868" w:rsidRDefault="00E23868" w:rsidP="00BA6AC4">
      <w:pPr>
        <w:spacing w:after="0" w:line="240" w:lineRule="auto"/>
      </w:pPr>
      <w:r>
        <w:separator/>
      </w:r>
    </w:p>
  </w:footnote>
  <w:footnote w:type="continuationSeparator" w:id="0">
    <w:p w14:paraId="3F5B3B9B" w14:textId="77777777" w:rsidR="00E23868" w:rsidRDefault="00E23868" w:rsidP="00BA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jc3NDYzsTAFcpV0lIJTi4sz8/NACixqAURVPtcsAAAA"/>
  </w:docVars>
  <w:rsids>
    <w:rsidRoot w:val="003F31D2"/>
    <w:rsid w:val="00000D76"/>
    <w:rsid w:val="00001F3E"/>
    <w:rsid w:val="0000497A"/>
    <w:rsid w:val="00005B18"/>
    <w:rsid w:val="00014B07"/>
    <w:rsid w:val="00033703"/>
    <w:rsid w:val="0005760D"/>
    <w:rsid w:val="00063480"/>
    <w:rsid w:val="0006484B"/>
    <w:rsid w:val="00065CAA"/>
    <w:rsid w:val="0006680B"/>
    <w:rsid w:val="000674BD"/>
    <w:rsid w:val="00071E7E"/>
    <w:rsid w:val="00073840"/>
    <w:rsid w:val="00074EE0"/>
    <w:rsid w:val="00081FCB"/>
    <w:rsid w:val="00090B2D"/>
    <w:rsid w:val="000926E4"/>
    <w:rsid w:val="000A0B31"/>
    <w:rsid w:val="000A22C0"/>
    <w:rsid w:val="000A32A7"/>
    <w:rsid w:val="000A4104"/>
    <w:rsid w:val="000A61CD"/>
    <w:rsid w:val="000B1A3F"/>
    <w:rsid w:val="000B41C6"/>
    <w:rsid w:val="000C1534"/>
    <w:rsid w:val="000C758B"/>
    <w:rsid w:val="000C7AAE"/>
    <w:rsid w:val="000D33C4"/>
    <w:rsid w:val="000D357D"/>
    <w:rsid w:val="000E3586"/>
    <w:rsid w:val="000E49E1"/>
    <w:rsid w:val="000F069E"/>
    <w:rsid w:val="000F2921"/>
    <w:rsid w:val="00101854"/>
    <w:rsid w:val="001069B1"/>
    <w:rsid w:val="001162D9"/>
    <w:rsid w:val="00117164"/>
    <w:rsid w:val="00124A7D"/>
    <w:rsid w:val="00125C6C"/>
    <w:rsid w:val="00130B1A"/>
    <w:rsid w:val="00133CC2"/>
    <w:rsid w:val="001370BB"/>
    <w:rsid w:val="001376F2"/>
    <w:rsid w:val="00143AA4"/>
    <w:rsid w:val="0014474A"/>
    <w:rsid w:val="00146D3C"/>
    <w:rsid w:val="00155D47"/>
    <w:rsid w:val="00157313"/>
    <w:rsid w:val="00162B68"/>
    <w:rsid w:val="00164114"/>
    <w:rsid w:val="00166EC1"/>
    <w:rsid w:val="00170F38"/>
    <w:rsid w:val="00173E2A"/>
    <w:rsid w:val="00175D98"/>
    <w:rsid w:val="00176183"/>
    <w:rsid w:val="001A1347"/>
    <w:rsid w:val="001A592B"/>
    <w:rsid w:val="001B0747"/>
    <w:rsid w:val="001B5945"/>
    <w:rsid w:val="001B62A6"/>
    <w:rsid w:val="001B6399"/>
    <w:rsid w:val="001D0AD1"/>
    <w:rsid w:val="001E1F8D"/>
    <w:rsid w:val="001E48A4"/>
    <w:rsid w:val="001E5F09"/>
    <w:rsid w:val="001E7FAE"/>
    <w:rsid w:val="001E7FD2"/>
    <w:rsid w:val="001F18C4"/>
    <w:rsid w:val="002078A9"/>
    <w:rsid w:val="00210B09"/>
    <w:rsid w:val="00212DC0"/>
    <w:rsid w:val="002172A2"/>
    <w:rsid w:val="00220732"/>
    <w:rsid w:val="00222F5C"/>
    <w:rsid w:val="00230146"/>
    <w:rsid w:val="00230A38"/>
    <w:rsid w:val="00230AF8"/>
    <w:rsid w:val="0023205D"/>
    <w:rsid w:val="00236558"/>
    <w:rsid w:val="00245CEA"/>
    <w:rsid w:val="00246BFC"/>
    <w:rsid w:val="0025320E"/>
    <w:rsid w:val="00257B2C"/>
    <w:rsid w:val="00260CB2"/>
    <w:rsid w:val="00270FC9"/>
    <w:rsid w:val="002737A5"/>
    <w:rsid w:val="00273A30"/>
    <w:rsid w:val="00274B89"/>
    <w:rsid w:val="00275646"/>
    <w:rsid w:val="002837B7"/>
    <w:rsid w:val="002875B6"/>
    <w:rsid w:val="0029051F"/>
    <w:rsid w:val="002A06B7"/>
    <w:rsid w:val="002A1405"/>
    <w:rsid w:val="002A47CA"/>
    <w:rsid w:val="002B06AA"/>
    <w:rsid w:val="002B1C8D"/>
    <w:rsid w:val="002B25FA"/>
    <w:rsid w:val="002B76C2"/>
    <w:rsid w:val="002C128D"/>
    <w:rsid w:val="002C2D28"/>
    <w:rsid w:val="002C7B9E"/>
    <w:rsid w:val="002D11B1"/>
    <w:rsid w:val="002D30F4"/>
    <w:rsid w:val="002D5A5D"/>
    <w:rsid w:val="002E2F69"/>
    <w:rsid w:val="002E3FA0"/>
    <w:rsid w:val="002E6C38"/>
    <w:rsid w:val="002E7768"/>
    <w:rsid w:val="002F4C8A"/>
    <w:rsid w:val="00300C23"/>
    <w:rsid w:val="003029F8"/>
    <w:rsid w:val="00306DB7"/>
    <w:rsid w:val="00314060"/>
    <w:rsid w:val="003159A4"/>
    <w:rsid w:val="00322371"/>
    <w:rsid w:val="00327544"/>
    <w:rsid w:val="00330AE1"/>
    <w:rsid w:val="00333317"/>
    <w:rsid w:val="00350915"/>
    <w:rsid w:val="00352395"/>
    <w:rsid w:val="00367B89"/>
    <w:rsid w:val="0037126E"/>
    <w:rsid w:val="00371FF4"/>
    <w:rsid w:val="00377BAF"/>
    <w:rsid w:val="00380CF3"/>
    <w:rsid w:val="00381A91"/>
    <w:rsid w:val="0038304D"/>
    <w:rsid w:val="003835EA"/>
    <w:rsid w:val="003866D7"/>
    <w:rsid w:val="00386E89"/>
    <w:rsid w:val="00391659"/>
    <w:rsid w:val="003935A7"/>
    <w:rsid w:val="003A2F81"/>
    <w:rsid w:val="003B3DD8"/>
    <w:rsid w:val="003B7BAE"/>
    <w:rsid w:val="003B7CE2"/>
    <w:rsid w:val="003C2B7B"/>
    <w:rsid w:val="003C3368"/>
    <w:rsid w:val="003D0224"/>
    <w:rsid w:val="003E03C1"/>
    <w:rsid w:val="003E2C2A"/>
    <w:rsid w:val="003E61F9"/>
    <w:rsid w:val="003E627D"/>
    <w:rsid w:val="003F31D2"/>
    <w:rsid w:val="003F4478"/>
    <w:rsid w:val="003F552C"/>
    <w:rsid w:val="003F5EB7"/>
    <w:rsid w:val="0040339E"/>
    <w:rsid w:val="0040435E"/>
    <w:rsid w:val="00404851"/>
    <w:rsid w:val="00405438"/>
    <w:rsid w:val="00414801"/>
    <w:rsid w:val="00422337"/>
    <w:rsid w:val="00422F47"/>
    <w:rsid w:val="00424D74"/>
    <w:rsid w:val="00430C7F"/>
    <w:rsid w:val="00434C5E"/>
    <w:rsid w:val="004364A6"/>
    <w:rsid w:val="00450E18"/>
    <w:rsid w:val="00454534"/>
    <w:rsid w:val="00455C66"/>
    <w:rsid w:val="004565B2"/>
    <w:rsid w:val="00461213"/>
    <w:rsid w:val="00461951"/>
    <w:rsid w:val="00465B8E"/>
    <w:rsid w:val="0046641B"/>
    <w:rsid w:val="004863D2"/>
    <w:rsid w:val="00491680"/>
    <w:rsid w:val="00494610"/>
    <w:rsid w:val="00496C58"/>
    <w:rsid w:val="004A4EC4"/>
    <w:rsid w:val="004B0511"/>
    <w:rsid w:val="004B2ACD"/>
    <w:rsid w:val="004B4A6A"/>
    <w:rsid w:val="004C0E82"/>
    <w:rsid w:val="004C1A35"/>
    <w:rsid w:val="004C7F22"/>
    <w:rsid w:val="004D28E2"/>
    <w:rsid w:val="004D3167"/>
    <w:rsid w:val="004E210F"/>
    <w:rsid w:val="004E26F1"/>
    <w:rsid w:val="004E3889"/>
    <w:rsid w:val="004E6AE2"/>
    <w:rsid w:val="004F17AB"/>
    <w:rsid w:val="004F2F72"/>
    <w:rsid w:val="00500A56"/>
    <w:rsid w:val="00510F3B"/>
    <w:rsid w:val="00530740"/>
    <w:rsid w:val="005332AC"/>
    <w:rsid w:val="00534790"/>
    <w:rsid w:val="00537FFB"/>
    <w:rsid w:val="00541E6E"/>
    <w:rsid w:val="00554A31"/>
    <w:rsid w:val="005579DC"/>
    <w:rsid w:val="00561FEB"/>
    <w:rsid w:val="00566968"/>
    <w:rsid w:val="00566A4B"/>
    <w:rsid w:val="0057404C"/>
    <w:rsid w:val="0057666A"/>
    <w:rsid w:val="00583123"/>
    <w:rsid w:val="005856F3"/>
    <w:rsid w:val="005A2DDF"/>
    <w:rsid w:val="005A7F57"/>
    <w:rsid w:val="005B74E8"/>
    <w:rsid w:val="005C6E1B"/>
    <w:rsid w:val="005D146B"/>
    <w:rsid w:val="005D7242"/>
    <w:rsid w:val="005E773D"/>
    <w:rsid w:val="005F462E"/>
    <w:rsid w:val="005F737B"/>
    <w:rsid w:val="00600390"/>
    <w:rsid w:val="00602DC0"/>
    <w:rsid w:val="00603948"/>
    <w:rsid w:val="006051A9"/>
    <w:rsid w:val="00607B7F"/>
    <w:rsid w:val="006135AA"/>
    <w:rsid w:val="00614094"/>
    <w:rsid w:val="00621576"/>
    <w:rsid w:val="0063001A"/>
    <w:rsid w:val="006309BD"/>
    <w:rsid w:val="00632BF0"/>
    <w:rsid w:val="006331C7"/>
    <w:rsid w:val="00633391"/>
    <w:rsid w:val="0065366A"/>
    <w:rsid w:val="00654A0B"/>
    <w:rsid w:val="00666147"/>
    <w:rsid w:val="006671FA"/>
    <w:rsid w:val="00667E28"/>
    <w:rsid w:val="00676508"/>
    <w:rsid w:val="0068409C"/>
    <w:rsid w:val="00686AA6"/>
    <w:rsid w:val="00693758"/>
    <w:rsid w:val="006A1668"/>
    <w:rsid w:val="006B353E"/>
    <w:rsid w:val="006B3B4E"/>
    <w:rsid w:val="006C0F1D"/>
    <w:rsid w:val="006C3320"/>
    <w:rsid w:val="006D0C37"/>
    <w:rsid w:val="006D661A"/>
    <w:rsid w:val="006D68CD"/>
    <w:rsid w:val="006E0AD9"/>
    <w:rsid w:val="006E3D30"/>
    <w:rsid w:val="006E4B73"/>
    <w:rsid w:val="006F5D54"/>
    <w:rsid w:val="006F7520"/>
    <w:rsid w:val="00700EC0"/>
    <w:rsid w:val="00707743"/>
    <w:rsid w:val="00713728"/>
    <w:rsid w:val="00714AAE"/>
    <w:rsid w:val="007152FA"/>
    <w:rsid w:val="007157AB"/>
    <w:rsid w:val="00721653"/>
    <w:rsid w:val="00725CBA"/>
    <w:rsid w:val="00725CCE"/>
    <w:rsid w:val="00726248"/>
    <w:rsid w:val="0073603A"/>
    <w:rsid w:val="00747AAC"/>
    <w:rsid w:val="00766C93"/>
    <w:rsid w:val="00771E7B"/>
    <w:rsid w:val="0077253C"/>
    <w:rsid w:val="0077606B"/>
    <w:rsid w:val="00787BF5"/>
    <w:rsid w:val="00787FE6"/>
    <w:rsid w:val="00793E21"/>
    <w:rsid w:val="007A4C7D"/>
    <w:rsid w:val="007A7083"/>
    <w:rsid w:val="007B4191"/>
    <w:rsid w:val="007B4500"/>
    <w:rsid w:val="007B62F0"/>
    <w:rsid w:val="007B7CD1"/>
    <w:rsid w:val="007D0EEB"/>
    <w:rsid w:val="007D1DBF"/>
    <w:rsid w:val="007F0268"/>
    <w:rsid w:val="007F131B"/>
    <w:rsid w:val="007F31B1"/>
    <w:rsid w:val="007F49C1"/>
    <w:rsid w:val="007F4BF4"/>
    <w:rsid w:val="008061E3"/>
    <w:rsid w:val="00806D5F"/>
    <w:rsid w:val="00812CC1"/>
    <w:rsid w:val="00814034"/>
    <w:rsid w:val="0081546F"/>
    <w:rsid w:val="008155E0"/>
    <w:rsid w:val="00824585"/>
    <w:rsid w:val="00825A22"/>
    <w:rsid w:val="00831561"/>
    <w:rsid w:val="00832853"/>
    <w:rsid w:val="008421AA"/>
    <w:rsid w:val="008430AB"/>
    <w:rsid w:val="00843BC2"/>
    <w:rsid w:val="00843F6B"/>
    <w:rsid w:val="0086180C"/>
    <w:rsid w:val="00862932"/>
    <w:rsid w:val="0087769F"/>
    <w:rsid w:val="0088149D"/>
    <w:rsid w:val="00886134"/>
    <w:rsid w:val="008878E2"/>
    <w:rsid w:val="00897716"/>
    <w:rsid w:val="008A7984"/>
    <w:rsid w:val="008A7B57"/>
    <w:rsid w:val="008B5077"/>
    <w:rsid w:val="008C2633"/>
    <w:rsid w:val="008C3A82"/>
    <w:rsid w:val="008D0CAB"/>
    <w:rsid w:val="008D1699"/>
    <w:rsid w:val="008D2237"/>
    <w:rsid w:val="008E7792"/>
    <w:rsid w:val="008F5E1E"/>
    <w:rsid w:val="008F66D2"/>
    <w:rsid w:val="0090010A"/>
    <w:rsid w:val="00912688"/>
    <w:rsid w:val="0091332D"/>
    <w:rsid w:val="00930A62"/>
    <w:rsid w:val="009340CB"/>
    <w:rsid w:val="00940A0D"/>
    <w:rsid w:val="0094719D"/>
    <w:rsid w:val="0095067B"/>
    <w:rsid w:val="009600ED"/>
    <w:rsid w:val="009663DD"/>
    <w:rsid w:val="00976D22"/>
    <w:rsid w:val="00980CFC"/>
    <w:rsid w:val="00984D2F"/>
    <w:rsid w:val="0099245C"/>
    <w:rsid w:val="00992988"/>
    <w:rsid w:val="009A2A1A"/>
    <w:rsid w:val="009A2D50"/>
    <w:rsid w:val="009A704B"/>
    <w:rsid w:val="009B1B65"/>
    <w:rsid w:val="009B660B"/>
    <w:rsid w:val="009B71E7"/>
    <w:rsid w:val="009D0295"/>
    <w:rsid w:val="009D2ACD"/>
    <w:rsid w:val="009D335D"/>
    <w:rsid w:val="009D4F0E"/>
    <w:rsid w:val="009D6400"/>
    <w:rsid w:val="009E17AB"/>
    <w:rsid w:val="009E2D40"/>
    <w:rsid w:val="009E5171"/>
    <w:rsid w:val="009E5238"/>
    <w:rsid w:val="009E52F5"/>
    <w:rsid w:val="009E54F6"/>
    <w:rsid w:val="009F0CAB"/>
    <w:rsid w:val="009F1C1F"/>
    <w:rsid w:val="009F3D4E"/>
    <w:rsid w:val="00A02DB5"/>
    <w:rsid w:val="00A030CD"/>
    <w:rsid w:val="00A043DB"/>
    <w:rsid w:val="00A0468C"/>
    <w:rsid w:val="00A06E52"/>
    <w:rsid w:val="00A115B8"/>
    <w:rsid w:val="00A13FC7"/>
    <w:rsid w:val="00A265AC"/>
    <w:rsid w:val="00A27245"/>
    <w:rsid w:val="00A27865"/>
    <w:rsid w:val="00A33F32"/>
    <w:rsid w:val="00A340C8"/>
    <w:rsid w:val="00A40CCF"/>
    <w:rsid w:val="00A41750"/>
    <w:rsid w:val="00A41B49"/>
    <w:rsid w:val="00A4B043"/>
    <w:rsid w:val="00A52714"/>
    <w:rsid w:val="00A54E9A"/>
    <w:rsid w:val="00A55151"/>
    <w:rsid w:val="00A614B0"/>
    <w:rsid w:val="00A808BA"/>
    <w:rsid w:val="00A8244A"/>
    <w:rsid w:val="00A90BFC"/>
    <w:rsid w:val="00A94DB3"/>
    <w:rsid w:val="00A973D0"/>
    <w:rsid w:val="00AA0F90"/>
    <w:rsid w:val="00AA507D"/>
    <w:rsid w:val="00AB0F12"/>
    <w:rsid w:val="00AB2629"/>
    <w:rsid w:val="00AC15B3"/>
    <w:rsid w:val="00AC54FC"/>
    <w:rsid w:val="00AD0F62"/>
    <w:rsid w:val="00AD5509"/>
    <w:rsid w:val="00AE7D77"/>
    <w:rsid w:val="00AF1C21"/>
    <w:rsid w:val="00AF341F"/>
    <w:rsid w:val="00AF5725"/>
    <w:rsid w:val="00B05709"/>
    <w:rsid w:val="00B069C5"/>
    <w:rsid w:val="00B20B6C"/>
    <w:rsid w:val="00B21F12"/>
    <w:rsid w:val="00B23647"/>
    <w:rsid w:val="00B25A93"/>
    <w:rsid w:val="00B27756"/>
    <w:rsid w:val="00B4611A"/>
    <w:rsid w:val="00B47600"/>
    <w:rsid w:val="00B51200"/>
    <w:rsid w:val="00B64CE8"/>
    <w:rsid w:val="00B67C8C"/>
    <w:rsid w:val="00B76318"/>
    <w:rsid w:val="00B80BB5"/>
    <w:rsid w:val="00B81B3D"/>
    <w:rsid w:val="00B95C2F"/>
    <w:rsid w:val="00BA15F0"/>
    <w:rsid w:val="00BA4479"/>
    <w:rsid w:val="00BA45C0"/>
    <w:rsid w:val="00BA4D91"/>
    <w:rsid w:val="00BA609E"/>
    <w:rsid w:val="00BA6AC4"/>
    <w:rsid w:val="00BB1ADF"/>
    <w:rsid w:val="00BB706C"/>
    <w:rsid w:val="00BC62D1"/>
    <w:rsid w:val="00BD5DA2"/>
    <w:rsid w:val="00BD7FC1"/>
    <w:rsid w:val="00BE0688"/>
    <w:rsid w:val="00BF080A"/>
    <w:rsid w:val="00C017F9"/>
    <w:rsid w:val="00C16B71"/>
    <w:rsid w:val="00C22B7F"/>
    <w:rsid w:val="00C27D8E"/>
    <w:rsid w:val="00C338D5"/>
    <w:rsid w:val="00C33FA1"/>
    <w:rsid w:val="00C3403C"/>
    <w:rsid w:val="00C43C3F"/>
    <w:rsid w:val="00C45602"/>
    <w:rsid w:val="00C52AF4"/>
    <w:rsid w:val="00C55B1C"/>
    <w:rsid w:val="00C63F6E"/>
    <w:rsid w:val="00C665E0"/>
    <w:rsid w:val="00C82BEF"/>
    <w:rsid w:val="00C863C6"/>
    <w:rsid w:val="00C91078"/>
    <w:rsid w:val="00C974A2"/>
    <w:rsid w:val="00CA00B6"/>
    <w:rsid w:val="00CB039E"/>
    <w:rsid w:val="00CC3936"/>
    <w:rsid w:val="00CD266B"/>
    <w:rsid w:val="00CD6771"/>
    <w:rsid w:val="00CE141B"/>
    <w:rsid w:val="00CE41B5"/>
    <w:rsid w:val="00CE53C1"/>
    <w:rsid w:val="00CE5E91"/>
    <w:rsid w:val="00CF0125"/>
    <w:rsid w:val="00CF0513"/>
    <w:rsid w:val="00CF508D"/>
    <w:rsid w:val="00CF6E40"/>
    <w:rsid w:val="00D00B85"/>
    <w:rsid w:val="00D04BD5"/>
    <w:rsid w:val="00D056FD"/>
    <w:rsid w:val="00D1291B"/>
    <w:rsid w:val="00D15B64"/>
    <w:rsid w:val="00D23FCA"/>
    <w:rsid w:val="00D24B0C"/>
    <w:rsid w:val="00D333C1"/>
    <w:rsid w:val="00D339F0"/>
    <w:rsid w:val="00D35272"/>
    <w:rsid w:val="00D37D16"/>
    <w:rsid w:val="00D46756"/>
    <w:rsid w:val="00D514AF"/>
    <w:rsid w:val="00D51B49"/>
    <w:rsid w:val="00D520B6"/>
    <w:rsid w:val="00D53248"/>
    <w:rsid w:val="00D57736"/>
    <w:rsid w:val="00D64C48"/>
    <w:rsid w:val="00D67163"/>
    <w:rsid w:val="00D756C7"/>
    <w:rsid w:val="00D75C24"/>
    <w:rsid w:val="00D77EDE"/>
    <w:rsid w:val="00D820AB"/>
    <w:rsid w:val="00D87903"/>
    <w:rsid w:val="00D94762"/>
    <w:rsid w:val="00DA301C"/>
    <w:rsid w:val="00DA6573"/>
    <w:rsid w:val="00DB08A3"/>
    <w:rsid w:val="00DB18D2"/>
    <w:rsid w:val="00DC1892"/>
    <w:rsid w:val="00DC3E04"/>
    <w:rsid w:val="00DC538E"/>
    <w:rsid w:val="00DC7C8F"/>
    <w:rsid w:val="00DE0FDD"/>
    <w:rsid w:val="00DE592F"/>
    <w:rsid w:val="00DF51C9"/>
    <w:rsid w:val="00DF5ED8"/>
    <w:rsid w:val="00E02B0A"/>
    <w:rsid w:val="00E03992"/>
    <w:rsid w:val="00E05C1B"/>
    <w:rsid w:val="00E06847"/>
    <w:rsid w:val="00E11D1B"/>
    <w:rsid w:val="00E13058"/>
    <w:rsid w:val="00E13DD9"/>
    <w:rsid w:val="00E14173"/>
    <w:rsid w:val="00E16C18"/>
    <w:rsid w:val="00E23868"/>
    <w:rsid w:val="00E24742"/>
    <w:rsid w:val="00E26759"/>
    <w:rsid w:val="00E26B84"/>
    <w:rsid w:val="00E30F84"/>
    <w:rsid w:val="00E34253"/>
    <w:rsid w:val="00E37780"/>
    <w:rsid w:val="00E41704"/>
    <w:rsid w:val="00E41A05"/>
    <w:rsid w:val="00E43F08"/>
    <w:rsid w:val="00E555F0"/>
    <w:rsid w:val="00E57CEB"/>
    <w:rsid w:val="00E605F3"/>
    <w:rsid w:val="00E63476"/>
    <w:rsid w:val="00E76054"/>
    <w:rsid w:val="00E829E9"/>
    <w:rsid w:val="00E908D9"/>
    <w:rsid w:val="00E93489"/>
    <w:rsid w:val="00E95169"/>
    <w:rsid w:val="00EA159A"/>
    <w:rsid w:val="00EA1D25"/>
    <w:rsid w:val="00EB2273"/>
    <w:rsid w:val="00EC010A"/>
    <w:rsid w:val="00EC02C6"/>
    <w:rsid w:val="00EC7BCD"/>
    <w:rsid w:val="00EC7D52"/>
    <w:rsid w:val="00ED7117"/>
    <w:rsid w:val="00ED7418"/>
    <w:rsid w:val="00EE62C1"/>
    <w:rsid w:val="00EF0374"/>
    <w:rsid w:val="00EF2D31"/>
    <w:rsid w:val="00EF2D46"/>
    <w:rsid w:val="00EF5F1A"/>
    <w:rsid w:val="00F06BE5"/>
    <w:rsid w:val="00F10455"/>
    <w:rsid w:val="00F22049"/>
    <w:rsid w:val="00F25991"/>
    <w:rsid w:val="00F25B6E"/>
    <w:rsid w:val="00F37EF0"/>
    <w:rsid w:val="00F548A4"/>
    <w:rsid w:val="00F561C9"/>
    <w:rsid w:val="00F729C5"/>
    <w:rsid w:val="00F80F1B"/>
    <w:rsid w:val="00F81500"/>
    <w:rsid w:val="00F85937"/>
    <w:rsid w:val="00F875EC"/>
    <w:rsid w:val="00F877E3"/>
    <w:rsid w:val="00F87A66"/>
    <w:rsid w:val="00FA2B10"/>
    <w:rsid w:val="00FA4DE5"/>
    <w:rsid w:val="00FB441D"/>
    <w:rsid w:val="00FB4C1C"/>
    <w:rsid w:val="00FB64C3"/>
    <w:rsid w:val="00FD1D20"/>
    <w:rsid w:val="00FE5C4E"/>
    <w:rsid w:val="00FF3328"/>
    <w:rsid w:val="01E7836A"/>
    <w:rsid w:val="02135CBD"/>
    <w:rsid w:val="02759F2D"/>
    <w:rsid w:val="037D9E6F"/>
    <w:rsid w:val="04BEA650"/>
    <w:rsid w:val="055C9C24"/>
    <w:rsid w:val="06739F0E"/>
    <w:rsid w:val="06D5924D"/>
    <w:rsid w:val="071ED77D"/>
    <w:rsid w:val="07F64712"/>
    <w:rsid w:val="08282A60"/>
    <w:rsid w:val="08DFBCE5"/>
    <w:rsid w:val="0A3F4D2B"/>
    <w:rsid w:val="0ABF57FA"/>
    <w:rsid w:val="0C7054A9"/>
    <w:rsid w:val="0D104466"/>
    <w:rsid w:val="0D3C28B1"/>
    <w:rsid w:val="0D5A874B"/>
    <w:rsid w:val="0DF6F8BC"/>
    <w:rsid w:val="0E14444E"/>
    <w:rsid w:val="0E654743"/>
    <w:rsid w:val="0F12BE4E"/>
    <w:rsid w:val="0F7273E6"/>
    <w:rsid w:val="1043C27B"/>
    <w:rsid w:val="10C60A34"/>
    <w:rsid w:val="11D63958"/>
    <w:rsid w:val="13771182"/>
    <w:rsid w:val="13E2068A"/>
    <w:rsid w:val="13F6A890"/>
    <w:rsid w:val="148D3A88"/>
    <w:rsid w:val="15B477E0"/>
    <w:rsid w:val="15F1C279"/>
    <w:rsid w:val="163BE33F"/>
    <w:rsid w:val="16FBB7F9"/>
    <w:rsid w:val="1A02E58F"/>
    <w:rsid w:val="1A661EEC"/>
    <w:rsid w:val="1B3F83AA"/>
    <w:rsid w:val="1CC45408"/>
    <w:rsid w:val="1E507546"/>
    <w:rsid w:val="1E602469"/>
    <w:rsid w:val="1E8081C1"/>
    <w:rsid w:val="1F9CD327"/>
    <w:rsid w:val="1FBBA6D2"/>
    <w:rsid w:val="1FFBF4CA"/>
    <w:rsid w:val="20F2C88C"/>
    <w:rsid w:val="213B51FC"/>
    <w:rsid w:val="2151CBE5"/>
    <w:rsid w:val="2196837B"/>
    <w:rsid w:val="2197C52B"/>
    <w:rsid w:val="22F16124"/>
    <w:rsid w:val="24E8C3D0"/>
    <w:rsid w:val="2833E98A"/>
    <w:rsid w:val="2837E278"/>
    <w:rsid w:val="2952FE3E"/>
    <w:rsid w:val="29F5F6D6"/>
    <w:rsid w:val="2BDDB625"/>
    <w:rsid w:val="2C0012C2"/>
    <w:rsid w:val="2F1EF0C9"/>
    <w:rsid w:val="30602DB3"/>
    <w:rsid w:val="31C9A3BD"/>
    <w:rsid w:val="31FBFE14"/>
    <w:rsid w:val="321FF83A"/>
    <w:rsid w:val="32C52165"/>
    <w:rsid w:val="349A8635"/>
    <w:rsid w:val="357408B5"/>
    <w:rsid w:val="370D2130"/>
    <w:rsid w:val="37989288"/>
    <w:rsid w:val="3B0A3A41"/>
    <w:rsid w:val="3CD5378A"/>
    <w:rsid w:val="3D8C1349"/>
    <w:rsid w:val="3DABCE3E"/>
    <w:rsid w:val="3E001957"/>
    <w:rsid w:val="3E3BB8FE"/>
    <w:rsid w:val="401789F1"/>
    <w:rsid w:val="40693439"/>
    <w:rsid w:val="409ADB19"/>
    <w:rsid w:val="4194F156"/>
    <w:rsid w:val="429FAD06"/>
    <w:rsid w:val="45A70F32"/>
    <w:rsid w:val="465C49E6"/>
    <w:rsid w:val="468DCAEF"/>
    <w:rsid w:val="46BA5BE7"/>
    <w:rsid w:val="4734D606"/>
    <w:rsid w:val="47775598"/>
    <w:rsid w:val="4906436A"/>
    <w:rsid w:val="4AA9EEC0"/>
    <w:rsid w:val="4B3FC283"/>
    <w:rsid w:val="4C614463"/>
    <w:rsid w:val="4DE18F82"/>
    <w:rsid w:val="4F25F640"/>
    <w:rsid w:val="525D9702"/>
    <w:rsid w:val="531FBFE3"/>
    <w:rsid w:val="537FB692"/>
    <w:rsid w:val="539E43A7"/>
    <w:rsid w:val="55A48095"/>
    <w:rsid w:val="55C7BC66"/>
    <w:rsid w:val="58DEAAD5"/>
    <w:rsid w:val="58F56EA7"/>
    <w:rsid w:val="593D6A86"/>
    <w:rsid w:val="5A819AFB"/>
    <w:rsid w:val="5AB62A11"/>
    <w:rsid w:val="5C5ED8F3"/>
    <w:rsid w:val="5F9383AD"/>
    <w:rsid w:val="60639E52"/>
    <w:rsid w:val="61FF6EB3"/>
    <w:rsid w:val="62966CCA"/>
    <w:rsid w:val="62EE9737"/>
    <w:rsid w:val="6342402F"/>
    <w:rsid w:val="6368470D"/>
    <w:rsid w:val="63F662D0"/>
    <w:rsid w:val="64403539"/>
    <w:rsid w:val="64ADB2D7"/>
    <w:rsid w:val="65B41262"/>
    <w:rsid w:val="6773338A"/>
    <w:rsid w:val="67F713D9"/>
    <w:rsid w:val="69EA60E7"/>
    <w:rsid w:val="6A402E06"/>
    <w:rsid w:val="6AF36461"/>
    <w:rsid w:val="6F139F29"/>
    <w:rsid w:val="6F5EFEF4"/>
    <w:rsid w:val="7100ED73"/>
    <w:rsid w:val="719E4137"/>
    <w:rsid w:val="7206FB77"/>
    <w:rsid w:val="72B04700"/>
    <w:rsid w:val="73347922"/>
    <w:rsid w:val="735A2693"/>
    <w:rsid w:val="75535425"/>
    <w:rsid w:val="75B04481"/>
    <w:rsid w:val="769FDECC"/>
    <w:rsid w:val="76A7117E"/>
    <w:rsid w:val="76E99B18"/>
    <w:rsid w:val="785C4ED2"/>
    <w:rsid w:val="7878F2C5"/>
    <w:rsid w:val="7ABD2848"/>
    <w:rsid w:val="7B30EC66"/>
    <w:rsid w:val="7DF9700D"/>
    <w:rsid w:val="7F6EEDC0"/>
    <w:rsid w:val="7F9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13F8"/>
  <w15:chartTrackingRefBased/>
  <w15:docId w15:val="{A6FDF205-2168-4152-BEF1-5BEB186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D2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3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3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6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C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340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0914d708c770499d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00e2de58684e43d8" Type="http://schemas.microsoft.com/office/2018/08/relationships/commentsExtensible" Target="commentsExtensible.xml"/><Relationship Id="rId10" Type="http://schemas.openxmlformats.org/officeDocument/2006/relationships/hyperlink" Target="https://vilniustech.lt/stojantiesiems/moksleiviams/kontaktai/91386?lang=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F2C1566752F464BBD600DA3DD8E5095" ma:contentTypeVersion="13" ma:contentTypeDescription="Kurkite naują dokumentą." ma:contentTypeScope="" ma:versionID="2d2f39b30968ab0ea8249a49971ca130">
  <xsd:schema xmlns:xsd="http://www.w3.org/2001/XMLSchema" xmlns:xs="http://www.w3.org/2001/XMLSchema" xmlns:p="http://schemas.microsoft.com/office/2006/metadata/properties" xmlns:ns2="449e36eb-7be4-467e-a84c-454d805dabc1" xmlns:ns3="9157e8e9-517c-444e-93fa-984a3cac9137" targetNamespace="http://schemas.microsoft.com/office/2006/metadata/properties" ma:root="true" ma:fieldsID="3ebbf1950de3c88177d47e1bd225b7b0" ns2:_="" ns3:_="">
    <xsd:import namespace="449e36eb-7be4-467e-a84c-454d805dabc1"/>
    <xsd:import namespace="9157e8e9-517c-444e-93fa-984a3cac9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e36eb-7be4-467e-a84c-454d805d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e8e9-517c-444e-93fa-984a3cac9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25C2-3FC6-4106-86EC-A976898F3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CC7BE-E90A-4768-BD52-B2A27AE7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e36eb-7be4-467e-a84c-454d805dabc1"/>
    <ds:schemaRef ds:uri="9157e8e9-517c-444e-93fa-984a3cac9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074F8-F9EB-4A11-BA9E-4FDD641C4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F27A-37D6-4BEC-9131-9FA8B52A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Misevičiūtė</dc:creator>
  <cp:keywords/>
  <cp:lastModifiedBy>Giedrutė Mikaločienė</cp:lastModifiedBy>
  <cp:revision>4</cp:revision>
  <dcterms:created xsi:type="dcterms:W3CDTF">2022-02-08T10:30:00Z</dcterms:created>
  <dcterms:modified xsi:type="dcterms:W3CDTF">2022-03-16T08:11:00Z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0x0101002F2C1566752F464BBD600DA3DD8E5095</vt:lpwstr>
  </property>
</Properties>
</file>